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B2611" w14:textId="77777777" w:rsidR="00F14418" w:rsidRPr="001D5B3D" w:rsidRDefault="00F14418" w:rsidP="00F14418">
      <w:pPr>
        <w:spacing w:line="276" w:lineRule="auto"/>
        <w:jc w:val="both"/>
        <w:rPr>
          <w:rFonts w:asciiTheme="majorHAnsi" w:hAnsiTheme="majorHAnsi"/>
          <w:lang w:eastAsia="en-US"/>
        </w:rPr>
      </w:pPr>
      <w:r w:rsidRPr="001D5B3D">
        <w:rPr>
          <w:rFonts w:asciiTheme="majorHAnsi" w:hAnsiTheme="majorHAnsi"/>
          <w:lang w:eastAsia="en-US"/>
        </w:rPr>
        <w:t xml:space="preserve">Le </w:t>
      </w:r>
      <w:r>
        <w:rPr>
          <w:rFonts w:asciiTheme="majorHAnsi" w:hAnsiTheme="majorHAnsi"/>
          <w:lang w:eastAsia="en-US"/>
        </w:rPr>
        <w:t xml:space="preserve">BUT </w:t>
      </w:r>
      <w:r w:rsidRPr="001D5B3D">
        <w:rPr>
          <w:rFonts w:asciiTheme="majorHAnsi" w:hAnsiTheme="majorHAnsi"/>
          <w:lang w:eastAsia="en-US"/>
        </w:rPr>
        <w:t>est organisé en 6 semestres composés d’unités d’enseignement (UE) et chaque niveau de développement des compétences se déploie sur les deux semestres d’une même année. Les UE et les compétences sont mises en correspondance. Chaque UE se réfère à une compétence finale et à un niveau de cette compétence.</w:t>
      </w:r>
    </w:p>
    <w:p w14:paraId="689D7A90" w14:textId="77777777" w:rsidR="00F14418" w:rsidRDefault="00F14418" w:rsidP="00F14418">
      <w:pPr>
        <w:rPr>
          <w:bdr w:val="nil"/>
          <w:lang w:eastAsia="fr-FR"/>
        </w:rPr>
      </w:pPr>
    </w:p>
    <w:p w14:paraId="5C8D69D6" w14:textId="3164FDBB" w:rsidR="00D35BAA" w:rsidRPr="00871135" w:rsidRDefault="00F36F7A" w:rsidP="00871135">
      <w:pPr>
        <w:jc w:val="center"/>
        <w:rPr>
          <w:rFonts w:asciiTheme="majorHAnsi" w:hAnsiTheme="majorHAnsi" w:cstheme="majorHAnsi"/>
          <w:b/>
          <w:color w:val="365F91"/>
          <w:sz w:val="32"/>
          <w:szCs w:val="32"/>
          <w:bdr w:val="nil"/>
          <w:lang w:eastAsia="fr-FR"/>
        </w:rPr>
      </w:pPr>
      <w:r w:rsidRPr="00202741">
        <w:rPr>
          <w:rFonts w:asciiTheme="majorHAnsi" w:hAnsiTheme="majorHAnsi" w:cstheme="majorHAnsi"/>
          <w:b/>
          <w:color w:val="365F91"/>
          <w:sz w:val="32"/>
          <w:szCs w:val="32"/>
          <w:bdr w:val="nil"/>
          <w:lang w:eastAsia="fr-FR"/>
        </w:rPr>
        <w:t>REGLEMENT</w:t>
      </w:r>
      <w:r w:rsidR="00ED4D45" w:rsidRPr="00202741">
        <w:rPr>
          <w:rFonts w:asciiTheme="majorHAnsi" w:hAnsiTheme="majorHAnsi" w:cstheme="majorHAnsi"/>
          <w:b/>
          <w:color w:val="365F91"/>
          <w:sz w:val="32"/>
          <w:szCs w:val="32"/>
          <w:bdr w:val="nil"/>
          <w:lang w:eastAsia="fr-FR"/>
        </w:rPr>
        <w:t xml:space="preserve"> DES ETUDES ET </w:t>
      </w:r>
      <w:r w:rsidR="00F705F8" w:rsidRPr="00202741">
        <w:rPr>
          <w:rFonts w:asciiTheme="majorHAnsi" w:hAnsiTheme="majorHAnsi" w:cstheme="majorHAnsi"/>
          <w:b/>
          <w:color w:val="365F91"/>
          <w:sz w:val="32"/>
          <w:szCs w:val="32"/>
          <w:bdr w:val="nil"/>
          <w:lang w:eastAsia="fr-FR"/>
        </w:rPr>
        <w:t>MCC</w:t>
      </w:r>
      <w:r w:rsidR="002035E2" w:rsidRPr="00202741">
        <w:rPr>
          <w:rFonts w:asciiTheme="majorHAnsi" w:hAnsiTheme="majorHAnsi" w:cstheme="majorHAnsi"/>
          <w:b/>
          <w:color w:val="365F91"/>
          <w:sz w:val="32"/>
          <w:szCs w:val="32"/>
          <w:bdr w:val="nil"/>
          <w:lang w:eastAsia="fr-FR"/>
        </w:rPr>
        <w:t>C</w:t>
      </w:r>
      <w:r w:rsidR="00F705F8" w:rsidRPr="00202741">
        <w:rPr>
          <w:rFonts w:asciiTheme="majorHAnsi" w:hAnsiTheme="majorHAnsi" w:cstheme="majorHAnsi"/>
          <w:b/>
          <w:color w:val="365F91"/>
          <w:sz w:val="32"/>
          <w:szCs w:val="32"/>
          <w:bdr w:val="nil"/>
          <w:lang w:eastAsia="fr-FR"/>
        </w:rPr>
        <w:t xml:space="preserve"> </w:t>
      </w:r>
      <w:r w:rsidR="009B7EFF" w:rsidRPr="00202741">
        <w:rPr>
          <w:rFonts w:asciiTheme="majorHAnsi" w:hAnsiTheme="majorHAnsi" w:cstheme="majorHAnsi"/>
          <w:b/>
          <w:color w:val="365F91"/>
          <w:sz w:val="32"/>
          <w:szCs w:val="32"/>
          <w:bdr w:val="nil"/>
          <w:lang w:eastAsia="fr-FR"/>
        </w:rPr>
        <w:t>2</w:t>
      </w:r>
      <w:r w:rsidR="56BE6496" w:rsidRPr="00202741">
        <w:rPr>
          <w:rFonts w:asciiTheme="majorHAnsi" w:hAnsiTheme="majorHAnsi" w:cstheme="majorHAnsi"/>
          <w:b/>
          <w:color w:val="365F91"/>
          <w:sz w:val="32"/>
          <w:szCs w:val="32"/>
          <w:bdr w:val="nil"/>
          <w:lang w:eastAsia="fr-FR"/>
        </w:rPr>
        <w:t>5</w:t>
      </w:r>
      <w:r w:rsidR="00DE47A7" w:rsidRPr="00202741">
        <w:rPr>
          <w:rFonts w:asciiTheme="majorHAnsi" w:hAnsiTheme="majorHAnsi" w:cstheme="majorHAnsi"/>
          <w:b/>
          <w:color w:val="365F91"/>
          <w:sz w:val="32"/>
          <w:szCs w:val="32"/>
          <w:bdr w:val="nil"/>
          <w:lang w:eastAsia="fr-FR"/>
        </w:rPr>
        <w:t>/</w:t>
      </w:r>
      <w:r w:rsidR="009B7EFF" w:rsidRPr="00202741">
        <w:rPr>
          <w:rFonts w:asciiTheme="majorHAnsi" w:hAnsiTheme="majorHAnsi" w:cstheme="majorHAnsi"/>
          <w:b/>
          <w:color w:val="365F91"/>
          <w:sz w:val="32"/>
          <w:szCs w:val="32"/>
          <w:bdr w:val="nil"/>
          <w:lang w:eastAsia="fr-FR"/>
        </w:rPr>
        <w:t>2</w:t>
      </w:r>
      <w:r w:rsidR="74549724" w:rsidRPr="00202741">
        <w:rPr>
          <w:rFonts w:asciiTheme="majorHAnsi" w:hAnsiTheme="majorHAnsi" w:cstheme="majorHAnsi"/>
          <w:b/>
          <w:color w:val="365F91"/>
          <w:sz w:val="32"/>
          <w:szCs w:val="32"/>
          <w:bdr w:val="nil"/>
          <w:lang w:eastAsia="fr-FR"/>
        </w:rPr>
        <w:t>6</w:t>
      </w:r>
    </w:p>
    <w:p w14:paraId="1E8E9AFC" w14:textId="14E8F905" w:rsidR="00F36F7A" w:rsidRPr="000A0B56" w:rsidRDefault="00F36F7A" w:rsidP="00BE16FE">
      <w:pPr>
        <w:pStyle w:val="Paragraphedeliste"/>
        <w:numPr>
          <w:ilvl w:val="0"/>
          <w:numId w:val="3"/>
        </w:numPr>
        <w:jc w:val="both"/>
        <w:rPr>
          <w:rFonts w:ascii="Arial" w:hAnsi="Arial" w:cs="Arial"/>
          <w:b/>
          <w:sz w:val="22"/>
          <w:szCs w:val="22"/>
          <w:lang w:eastAsia="en-US"/>
        </w:rPr>
      </w:pPr>
      <w:r w:rsidRPr="000A0B56">
        <w:rPr>
          <w:rFonts w:ascii="Arial" w:hAnsi="Arial" w:cs="Arial"/>
          <w:b/>
          <w:sz w:val="22"/>
          <w:szCs w:val="22"/>
          <w:lang w:eastAsia="en-US"/>
        </w:rPr>
        <w:t>Composante :</w:t>
      </w:r>
      <w:r w:rsidR="00816B82">
        <w:rPr>
          <w:rFonts w:ascii="Arial" w:hAnsi="Arial" w:cs="Arial"/>
          <w:b/>
          <w:sz w:val="22"/>
          <w:szCs w:val="22"/>
          <w:lang w:eastAsia="en-US"/>
        </w:rPr>
        <w:t xml:space="preserve"> IUT de Saint-Denis</w:t>
      </w:r>
    </w:p>
    <w:p w14:paraId="4AE1F01A" w14:textId="3AF0307E" w:rsidR="00F36F7A" w:rsidRDefault="00F36F7A" w:rsidP="00816B82">
      <w:pPr>
        <w:pStyle w:val="Paragraphedeliste"/>
        <w:numPr>
          <w:ilvl w:val="0"/>
          <w:numId w:val="3"/>
        </w:numPr>
        <w:spacing w:after="0"/>
        <w:ind w:left="714" w:hanging="357"/>
        <w:jc w:val="both"/>
        <w:rPr>
          <w:rFonts w:ascii="Arial" w:hAnsi="Arial" w:cs="Arial"/>
          <w:b/>
          <w:sz w:val="22"/>
          <w:szCs w:val="22"/>
          <w:lang w:eastAsia="en-US"/>
        </w:rPr>
      </w:pPr>
      <w:r w:rsidRPr="000A0B56">
        <w:rPr>
          <w:rFonts w:ascii="Arial" w:hAnsi="Arial" w:cs="Arial"/>
          <w:b/>
          <w:sz w:val="22"/>
          <w:szCs w:val="22"/>
          <w:lang w:eastAsia="en-US"/>
        </w:rPr>
        <w:t>Nom</w:t>
      </w:r>
      <w:r w:rsidR="00F14418">
        <w:rPr>
          <w:rFonts w:ascii="Arial" w:hAnsi="Arial" w:cs="Arial"/>
          <w:b/>
          <w:sz w:val="22"/>
          <w:szCs w:val="22"/>
          <w:lang w:eastAsia="en-US"/>
        </w:rPr>
        <w:t>s</w:t>
      </w:r>
      <w:r w:rsidRPr="000A0B56">
        <w:rPr>
          <w:rFonts w:ascii="Arial" w:hAnsi="Arial" w:cs="Arial"/>
          <w:b/>
          <w:sz w:val="22"/>
          <w:szCs w:val="22"/>
          <w:lang w:eastAsia="en-US"/>
        </w:rPr>
        <w:t xml:space="preserve"> de</w:t>
      </w:r>
      <w:r w:rsidR="00816B82">
        <w:rPr>
          <w:rFonts w:ascii="Arial" w:hAnsi="Arial" w:cs="Arial"/>
          <w:b/>
          <w:sz w:val="22"/>
          <w:szCs w:val="22"/>
          <w:lang w:eastAsia="en-US"/>
        </w:rPr>
        <w:t xml:space="preserve">s </w:t>
      </w:r>
      <w:r w:rsidRPr="000A0B56">
        <w:rPr>
          <w:rFonts w:ascii="Arial" w:hAnsi="Arial" w:cs="Arial"/>
          <w:b/>
          <w:sz w:val="22"/>
          <w:szCs w:val="22"/>
          <w:lang w:eastAsia="en-US"/>
        </w:rPr>
        <w:t>Mention</w:t>
      </w:r>
      <w:r w:rsidR="00816B82">
        <w:rPr>
          <w:rFonts w:ascii="Arial" w:hAnsi="Arial" w:cs="Arial"/>
          <w:b/>
          <w:sz w:val="22"/>
          <w:szCs w:val="22"/>
          <w:lang w:eastAsia="en-US"/>
        </w:rPr>
        <w:t>s</w:t>
      </w:r>
      <w:r w:rsidRPr="000A0B56">
        <w:rPr>
          <w:rFonts w:ascii="Arial" w:hAnsi="Arial" w:cs="Arial"/>
          <w:b/>
          <w:sz w:val="22"/>
          <w:szCs w:val="22"/>
          <w:lang w:eastAsia="en-US"/>
        </w:rPr>
        <w:t> :</w:t>
      </w:r>
    </w:p>
    <w:p w14:paraId="07CAB2CC" w14:textId="77777777" w:rsidR="00816B82" w:rsidRPr="00816B82" w:rsidRDefault="00816B82" w:rsidP="00202741">
      <w:pPr>
        <w:spacing w:after="0"/>
        <w:ind w:left="709"/>
        <w:jc w:val="both"/>
        <w:rPr>
          <w:rFonts w:asciiTheme="majorHAnsi" w:hAnsiTheme="majorHAnsi"/>
          <w:b/>
          <w:lang w:eastAsia="en-US"/>
        </w:rPr>
      </w:pPr>
      <w:r w:rsidRPr="00816B82">
        <w:rPr>
          <w:rFonts w:asciiTheme="majorHAnsi" w:hAnsiTheme="majorHAnsi"/>
          <w:b/>
          <w:lang w:eastAsia="en-US"/>
        </w:rPr>
        <w:t>BUT Techniques de Commercialisation</w:t>
      </w:r>
    </w:p>
    <w:p w14:paraId="0639F25C" w14:textId="77777777" w:rsidR="00816B82" w:rsidRPr="00816B82" w:rsidRDefault="00816B82" w:rsidP="00202741">
      <w:pPr>
        <w:spacing w:after="0"/>
        <w:ind w:left="709"/>
        <w:jc w:val="both"/>
        <w:rPr>
          <w:rFonts w:asciiTheme="majorHAnsi" w:hAnsiTheme="majorHAnsi"/>
          <w:b/>
          <w:lang w:eastAsia="en-US"/>
        </w:rPr>
      </w:pPr>
      <w:r w:rsidRPr="00816B82">
        <w:rPr>
          <w:rFonts w:asciiTheme="majorHAnsi" w:hAnsiTheme="majorHAnsi"/>
          <w:b/>
          <w:lang w:eastAsia="en-US"/>
        </w:rPr>
        <w:t>BUT Gestion des Entreprises et des Administrations</w:t>
      </w:r>
    </w:p>
    <w:p w14:paraId="78137A60" w14:textId="77777777" w:rsidR="00816B82" w:rsidRPr="00816B82" w:rsidRDefault="00816B82" w:rsidP="00202741">
      <w:pPr>
        <w:spacing w:after="0"/>
        <w:ind w:left="709"/>
        <w:jc w:val="both"/>
        <w:rPr>
          <w:rFonts w:asciiTheme="majorHAnsi" w:hAnsiTheme="majorHAnsi"/>
          <w:b/>
          <w:lang w:eastAsia="en-US"/>
        </w:rPr>
      </w:pPr>
      <w:r w:rsidRPr="00816B82">
        <w:rPr>
          <w:rFonts w:asciiTheme="majorHAnsi" w:hAnsiTheme="majorHAnsi"/>
          <w:b/>
          <w:lang w:eastAsia="en-US"/>
        </w:rPr>
        <w:t>BUT Génie Mécanique et Productique</w:t>
      </w:r>
    </w:p>
    <w:p w14:paraId="1E4AB59B" w14:textId="77777777" w:rsidR="00816B82" w:rsidRPr="00816B82" w:rsidRDefault="00816B82" w:rsidP="00202741">
      <w:pPr>
        <w:spacing w:after="0"/>
        <w:ind w:left="709"/>
        <w:jc w:val="both"/>
        <w:rPr>
          <w:rFonts w:asciiTheme="majorHAnsi" w:hAnsiTheme="majorHAnsi"/>
          <w:b/>
          <w:lang w:eastAsia="en-US"/>
        </w:rPr>
      </w:pPr>
      <w:r w:rsidRPr="00816B82">
        <w:rPr>
          <w:rFonts w:asciiTheme="majorHAnsi" w:hAnsiTheme="majorHAnsi"/>
          <w:b/>
          <w:lang w:eastAsia="en-US"/>
        </w:rPr>
        <w:t>BUT Génie Industriel et Maintenance</w:t>
      </w:r>
    </w:p>
    <w:p w14:paraId="3325B12F" w14:textId="77777777" w:rsidR="00816B82" w:rsidRPr="00816B82" w:rsidRDefault="00816B82" w:rsidP="00202741">
      <w:pPr>
        <w:spacing w:after="0"/>
        <w:ind w:left="709"/>
        <w:jc w:val="both"/>
        <w:rPr>
          <w:rFonts w:asciiTheme="majorHAnsi" w:hAnsiTheme="majorHAnsi"/>
          <w:b/>
          <w:lang w:eastAsia="en-US"/>
        </w:rPr>
      </w:pPr>
      <w:r w:rsidRPr="00816B82">
        <w:rPr>
          <w:rFonts w:asciiTheme="majorHAnsi" w:hAnsiTheme="majorHAnsi"/>
          <w:b/>
          <w:lang w:eastAsia="en-US"/>
        </w:rPr>
        <w:t>BUT Science et Génie des Matériaux</w:t>
      </w:r>
    </w:p>
    <w:p w14:paraId="480B228E" w14:textId="77777777" w:rsidR="00816B82" w:rsidRPr="00816B82" w:rsidRDefault="00816B82" w:rsidP="00202741">
      <w:pPr>
        <w:spacing w:after="0"/>
        <w:ind w:left="709"/>
        <w:jc w:val="both"/>
        <w:rPr>
          <w:rFonts w:asciiTheme="majorHAnsi" w:hAnsiTheme="majorHAnsi"/>
          <w:b/>
          <w:lang w:eastAsia="en-US"/>
        </w:rPr>
      </w:pPr>
      <w:r w:rsidRPr="00816B82">
        <w:rPr>
          <w:rFonts w:asciiTheme="majorHAnsi" w:hAnsiTheme="majorHAnsi"/>
          <w:b/>
          <w:lang w:eastAsia="en-US"/>
        </w:rPr>
        <w:t>BUT Hygiène, Sécurité et Environnement</w:t>
      </w:r>
    </w:p>
    <w:p w14:paraId="6E396A30" w14:textId="77777777" w:rsidR="00816B82" w:rsidRPr="00816B82" w:rsidRDefault="00816B82" w:rsidP="00202741">
      <w:pPr>
        <w:spacing w:after="0"/>
        <w:ind w:left="709"/>
        <w:jc w:val="both"/>
        <w:rPr>
          <w:rFonts w:asciiTheme="majorHAnsi" w:hAnsiTheme="majorHAnsi"/>
          <w:b/>
          <w:lang w:eastAsia="en-US"/>
        </w:rPr>
      </w:pPr>
      <w:r w:rsidRPr="00816B82">
        <w:rPr>
          <w:rFonts w:asciiTheme="majorHAnsi" w:hAnsiTheme="majorHAnsi"/>
          <w:b/>
          <w:lang w:eastAsia="en-US"/>
        </w:rPr>
        <w:t>BUT Mesures Physiques</w:t>
      </w:r>
    </w:p>
    <w:p w14:paraId="1AC31BAE" w14:textId="4A099D41" w:rsidR="00F36F7A" w:rsidRPr="000A0B56" w:rsidRDefault="00F36F7A" w:rsidP="00F36F7A">
      <w:pPr>
        <w:pStyle w:val="Paragraphedeliste"/>
        <w:jc w:val="both"/>
        <w:rPr>
          <w:rFonts w:ascii="Arial" w:hAnsi="Arial" w:cs="Arial"/>
          <w:b/>
          <w:sz w:val="22"/>
          <w:szCs w:val="22"/>
          <w:lang w:eastAsia="en-US"/>
        </w:rPr>
      </w:pPr>
    </w:p>
    <w:p w14:paraId="09C1B7E5" w14:textId="0F72E2CF" w:rsidR="00F36F7A" w:rsidRPr="000A0B56" w:rsidRDefault="004E325F" w:rsidP="00F36F7A">
      <w:pPr>
        <w:pStyle w:val="Paragraphedeliste"/>
        <w:numPr>
          <w:ilvl w:val="0"/>
          <w:numId w:val="3"/>
        </w:numPr>
        <w:jc w:val="both"/>
        <w:rPr>
          <w:rFonts w:ascii="Arial" w:hAnsi="Arial" w:cs="Arial"/>
          <w:b/>
          <w:sz w:val="22"/>
          <w:szCs w:val="22"/>
          <w:lang w:eastAsia="en-US"/>
        </w:rPr>
      </w:pPr>
      <w:r w:rsidRPr="000A0B56">
        <w:rPr>
          <w:rFonts w:ascii="Arial" w:hAnsi="Arial" w:cs="Arial"/>
          <w:b/>
          <w:sz w:val="22"/>
          <w:szCs w:val="22"/>
          <w:lang w:eastAsia="en-US"/>
        </w:rPr>
        <w:t>Date de validation par le conseil de composante</w:t>
      </w:r>
      <w:r w:rsidR="00F36F7A" w:rsidRPr="000A0B56">
        <w:rPr>
          <w:rFonts w:ascii="Arial" w:hAnsi="Arial" w:cs="Arial"/>
          <w:b/>
          <w:sz w:val="22"/>
          <w:szCs w:val="22"/>
          <w:lang w:eastAsia="en-US"/>
        </w:rPr>
        <w:t xml:space="preserve"> : </w:t>
      </w:r>
      <w:r w:rsidR="005A3884">
        <w:rPr>
          <w:rFonts w:ascii="Arial" w:hAnsi="Arial" w:cs="Arial"/>
          <w:b/>
          <w:sz w:val="22"/>
          <w:szCs w:val="22"/>
          <w:lang w:eastAsia="en-US"/>
        </w:rPr>
        <w:t>23</w:t>
      </w:r>
      <w:r w:rsidR="003D1A0E">
        <w:rPr>
          <w:rFonts w:ascii="Arial" w:hAnsi="Arial" w:cs="Arial"/>
          <w:b/>
          <w:sz w:val="22"/>
          <w:szCs w:val="22"/>
          <w:lang w:eastAsia="en-US"/>
        </w:rPr>
        <w:t xml:space="preserve"> </w:t>
      </w:r>
      <w:r w:rsidR="005A3884">
        <w:rPr>
          <w:rFonts w:ascii="Arial" w:hAnsi="Arial" w:cs="Arial"/>
          <w:b/>
          <w:sz w:val="22"/>
          <w:szCs w:val="22"/>
          <w:lang w:eastAsia="en-US"/>
        </w:rPr>
        <w:t>septembre</w:t>
      </w:r>
      <w:r w:rsidR="003D1A0E">
        <w:rPr>
          <w:rFonts w:ascii="Arial" w:hAnsi="Arial" w:cs="Arial"/>
          <w:b/>
          <w:sz w:val="22"/>
          <w:szCs w:val="22"/>
          <w:lang w:eastAsia="en-US"/>
        </w:rPr>
        <w:t xml:space="preserve"> 2025</w:t>
      </w:r>
    </w:p>
    <w:p w14:paraId="4452028B" w14:textId="2B23C9CB" w:rsidR="00467374" w:rsidRPr="000A0B56" w:rsidRDefault="00F36F7A" w:rsidP="00BE16FE">
      <w:pPr>
        <w:pStyle w:val="Paragraphedeliste"/>
        <w:numPr>
          <w:ilvl w:val="0"/>
          <w:numId w:val="3"/>
        </w:numPr>
        <w:jc w:val="both"/>
        <w:rPr>
          <w:rFonts w:ascii="Arial" w:hAnsi="Arial" w:cs="Arial"/>
          <w:b/>
          <w:sz w:val="22"/>
          <w:szCs w:val="22"/>
          <w:lang w:eastAsia="en-US"/>
        </w:rPr>
      </w:pPr>
      <w:r w:rsidRPr="000A0B56">
        <w:rPr>
          <w:rFonts w:ascii="Arial" w:hAnsi="Arial" w:cs="Arial"/>
          <w:b/>
          <w:sz w:val="22"/>
          <w:szCs w:val="22"/>
          <w:lang w:eastAsia="en-US"/>
        </w:rPr>
        <w:t xml:space="preserve">Date de validation en CFVU : </w:t>
      </w:r>
      <w:r w:rsidR="003D1A0E">
        <w:rPr>
          <w:rFonts w:ascii="Arial" w:hAnsi="Arial" w:cs="Arial"/>
          <w:b/>
          <w:sz w:val="22"/>
          <w:szCs w:val="22"/>
          <w:lang w:eastAsia="en-US"/>
        </w:rPr>
        <w:t>XXXX</w:t>
      </w:r>
    </w:p>
    <w:p w14:paraId="5F9794E3" w14:textId="77777777" w:rsidR="00871135" w:rsidRPr="00DD1716" w:rsidRDefault="00467374" w:rsidP="00811D25">
      <w:pPr>
        <w:pStyle w:val="Titre1"/>
      </w:pPr>
      <w:r w:rsidRPr="00DD1716">
        <w:t>L’architecture de</w:t>
      </w:r>
      <w:r w:rsidR="00F14418" w:rsidRPr="00DD1716">
        <w:t>s</w:t>
      </w:r>
      <w:r w:rsidRPr="00DD1716">
        <w:t xml:space="preserve"> mention</w:t>
      </w:r>
      <w:r w:rsidR="00F14418" w:rsidRPr="00DD1716">
        <w:t>s</w:t>
      </w:r>
    </w:p>
    <w:p w14:paraId="57231D67" w14:textId="168B4C40" w:rsidR="00F36F7A" w:rsidRPr="00871135" w:rsidRDefault="00F36F7A" w:rsidP="00871135">
      <w:pPr>
        <w:spacing w:after="100"/>
        <w:jc w:val="both"/>
        <w:rPr>
          <w:b/>
          <w:color w:val="1F497D" w:themeColor="text2"/>
          <w:sz w:val="10"/>
          <w:szCs w:val="10"/>
          <w:lang w:eastAsia="en-US"/>
        </w:rPr>
      </w:pPr>
    </w:p>
    <w:tbl>
      <w:tblPr>
        <w:tblStyle w:val="Grilledutableau"/>
        <w:tblW w:w="0" w:type="auto"/>
        <w:tblLook w:val="04A0" w:firstRow="1" w:lastRow="0" w:firstColumn="1" w:lastColumn="0" w:noHBand="0" w:noVBand="1"/>
      </w:tblPr>
      <w:tblGrid>
        <w:gridCol w:w="3061"/>
        <w:gridCol w:w="6568"/>
      </w:tblGrid>
      <w:tr w:rsidR="00774222" w:rsidRPr="00F2118F" w14:paraId="7F68A390" w14:textId="77777777" w:rsidTr="0051450F">
        <w:tc>
          <w:tcPr>
            <w:tcW w:w="3061" w:type="dxa"/>
            <w:vMerge w:val="restart"/>
            <w:vAlign w:val="center"/>
          </w:tcPr>
          <w:p w14:paraId="764741E6" w14:textId="671EA2CC" w:rsidR="00774222" w:rsidRPr="00342FAF" w:rsidRDefault="00774222" w:rsidP="00774222">
            <w:pPr>
              <w:spacing w:line="360" w:lineRule="auto"/>
              <w:ind w:left="32"/>
              <w:jc w:val="center"/>
              <w:rPr>
                <w:rFonts w:asciiTheme="majorHAnsi" w:hAnsiTheme="majorHAnsi" w:cstheme="majorHAnsi"/>
                <w:b/>
              </w:rPr>
            </w:pPr>
            <w:r w:rsidRPr="00342FAF">
              <w:rPr>
                <w:rFonts w:asciiTheme="majorHAnsi" w:hAnsiTheme="majorHAnsi" w:cstheme="majorHAnsi"/>
                <w:b/>
              </w:rPr>
              <w:t>BUT Techniques de Commercialisation</w:t>
            </w:r>
          </w:p>
        </w:tc>
        <w:tc>
          <w:tcPr>
            <w:tcW w:w="6568" w:type="dxa"/>
            <w:vAlign w:val="center"/>
          </w:tcPr>
          <w:p w14:paraId="26B81775" w14:textId="77777777" w:rsidR="00774222" w:rsidRPr="00B83CC3" w:rsidRDefault="00774222" w:rsidP="0051450F">
            <w:pPr>
              <w:jc w:val="both"/>
              <w:rPr>
                <w:rFonts w:asciiTheme="majorHAnsi" w:hAnsiTheme="majorHAnsi" w:cstheme="majorHAnsi"/>
                <w:i/>
                <w:sz w:val="24"/>
                <w:szCs w:val="24"/>
              </w:rPr>
            </w:pPr>
            <w:r w:rsidRPr="00B83CC3">
              <w:rPr>
                <w:rFonts w:asciiTheme="majorHAnsi" w:hAnsiTheme="majorHAnsi" w:cstheme="majorHAnsi"/>
                <w:i/>
                <w:sz w:val="24"/>
                <w:szCs w:val="24"/>
              </w:rPr>
              <w:t>Marketing digital, e-business et entrepreneuriat</w:t>
            </w:r>
          </w:p>
        </w:tc>
      </w:tr>
      <w:tr w:rsidR="00774222" w:rsidRPr="00F2118F" w14:paraId="6827A862" w14:textId="77777777" w:rsidTr="0051450F">
        <w:tc>
          <w:tcPr>
            <w:tcW w:w="3061" w:type="dxa"/>
            <w:vMerge/>
          </w:tcPr>
          <w:p w14:paraId="6C57D720" w14:textId="77777777" w:rsidR="00774222" w:rsidRPr="006778FA" w:rsidRDefault="00774222" w:rsidP="0051450F">
            <w:pPr>
              <w:spacing w:line="360" w:lineRule="auto"/>
              <w:jc w:val="both"/>
              <w:rPr>
                <w:b/>
                <w:sz w:val="24"/>
                <w:szCs w:val="24"/>
              </w:rPr>
            </w:pPr>
          </w:p>
        </w:tc>
        <w:tc>
          <w:tcPr>
            <w:tcW w:w="6568" w:type="dxa"/>
            <w:vAlign w:val="center"/>
          </w:tcPr>
          <w:p w14:paraId="00E4E4BC" w14:textId="77777777" w:rsidR="00774222" w:rsidRPr="00B83CC3" w:rsidRDefault="00774222" w:rsidP="0051450F">
            <w:pPr>
              <w:jc w:val="both"/>
              <w:rPr>
                <w:rFonts w:asciiTheme="majorHAnsi" w:hAnsiTheme="majorHAnsi" w:cstheme="majorHAnsi"/>
                <w:i/>
                <w:sz w:val="24"/>
                <w:szCs w:val="24"/>
              </w:rPr>
            </w:pPr>
            <w:r w:rsidRPr="00B83CC3">
              <w:rPr>
                <w:rFonts w:asciiTheme="majorHAnsi" w:hAnsiTheme="majorHAnsi" w:cstheme="majorHAnsi"/>
                <w:i/>
                <w:sz w:val="24"/>
                <w:szCs w:val="24"/>
              </w:rPr>
              <w:t>Business international : achat et vente</w:t>
            </w:r>
          </w:p>
        </w:tc>
      </w:tr>
      <w:tr w:rsidR="00774222" w:rsidRPr="00F2118F" w14:paraId="1A83E050" w14:textId="77777777" w:rsidTr="0051450F">
        <w:tc>
          <w:tcPr>
            <w:tcW w:w="3061" w:type="dxa"/>
            <w:vMerge/>
          </w:tcPr>
          <w:p w14:paraId="75C7A739" w14:textId="77777777" w:rsidR="00774222" w:rsidRDefault="00774222" w:rsidP="0051450F">
            <w:pPr>
              <w:spacing w:line="360" w:lineRule="auto"/>
              <w:jc w:val="both"/>
              <w:rPr>
                <w:b/>
              </w:rPr>
            </w:pPr>
          </w:p>
        </w:tc>
        <w:tc>
          <w:tcPr>
            <w:tcW w:w="6568" w:type="dxa"/>
            <w:vAlign w:val="center"/>
          </w:tcPr>
          <w:p w14:paraId="076721AF" w14:textId="77777777" w:rsidR="00774222" w:rsidRPr="00B83CC3" w:rsidRDefault="00774222" w:rsidP="0051450F">
            <w:pPr>
              <w:jc w:val="both"/>
              <w:rPr>
                <w:rFonts w:asciiTheme="majorHAnsi" w:hAnsiTheme="majorHAnsi" w:cstheme="majorHAnsi"/>
                <w:i/>
                <w:sz w:val="24"/>
                <w:szCs w:val="24"/>
              </w:rPr>
            </w:pPr>
            <w:r w:rsidRPr="00B83CC3">
              <w:rPr>
                <w:rFonts w:asciiTheme="majorHAnsi" w:hAnsiTheme="majorHAnsi" w:cstheme="majorHAnsi"/>
                <w:i/>
                <w:sz w:val="24"/>
                <w:szCs w:val="24"/>
              </w:rPr>
              <w:t>Stratégie de marque et événementiel</w:t>
            </w:r>
          </w:p>
        </w:tc>
      </w:tr>
    </w:tbl>
    <w:p w14:paraId="50411735" w14:textId="77777777" w:rsidR="007C0F8E" w:rsidRPr="00C03BC0" w:rsidRDefault="007C0F8E" w:rsidP="00871135">
      <w:pPr>
        <w:spacing w:after="100"/>
        <w:jc w:val="both"/>
        <w:rPr>
          <w:rFonts w:asciiTheme="majorHAnsi" w:hAnsiTheme="majorHAnsi" w:cstheme="majorHAnsi"/>
          <w:b/>
          <w:color w:val="1F497D" w:themeColor="text2"/>
          <w:sz w:val="10"/>
          <w:szCs w:val="10"/>
          <w:lang w:eastAsia="en-US"/>
        </w:rPr>
      </w:pPr>
    </w:p>
    <w:tbl>
      <w:tblPr>
        <w:tblStyle w:val="Grilledutableau"/>
        <w:tblW w:w="0" w:type="auto"/>
        <w:tblLook w:val="04A0" w:firstRow="1" w:lastRow="0" w:firstColumn="1" w:lastColumn="0" w:noHBand="0" w:noVBand="1"/>
      </w:tblPr>
      <w:tblGrid>
        <w:gridCol w:w="3061"/>
        <w:gridCol w:w="6568"/>
      </w:tblGrid>
      <w:tr w:rsidR="007C0F8E" w:rsidRPr="00F2118F" w14:paraId="7BA4407D" w14:textId="77777777" w:rsidTr="0051450F">
        <w:tc>
          <w:tcPr>
            <w:tcW w:w="3061" w:type="dxa"/>
            <w:vMerge w:val="restart"/>
            <w:vAlign w:val="center"/>
          </w:tcPr>
          <w:p w14:paraId="6C24244B" w14:textId="77777777" w:rsidR="007C0F8E" w:rsidRPr="006778FA" w:rsidRDefault="007C0F8E" w:rsidP="0051450F">
            <w:pPr>
              <w:spacing w:line="360" w:lineRule="auto"/>
              <w:jc w:val="center"/>
              <w:rPr>
                <w:b/>
                <w:sz w:val="24"/>
                <w:szCs w:val="24"/>
              </w:rPr>
            </w:pPr>
            <w:r w:rsidRPr="00B83CC3">
              <w:rPr>
                <w:rFonts w:asciiTheme="majorHAnsi" w:hAnsiTheme="majorHAnsi" w:cstheme="majorHAnsi"/>
                <w:b/>
                <w:sz w:val="24"/>
                <w:szCs w:val="24"/>
              </w:rPr>
              <w:t xml:space="preserve">BUT Gestion des Entreprises et </w:t>
            </w:r>
            <w:r w:rsidRPr="007C0F8E">
              <w:rPr>
                <w:rFonts w:asciiTheme="majorHAnsi" w:hAnsiTheme="majorHAnsi" w:cstheme="majorHAnsi"/>
                <w:b/>
                <w:sz w:val="24"/>
                <w:szCs w:val="24"/>
              </w:rPr>
              <w:t xml:space="preserve">des </w:t>
            </w:r>
            <w:r w:rsidRPr="00B83CC3">
              <w:rPr>
                <w:rFonts w:asciiTheme="majorHAnsi" w:hAnsiTheme="majorHAnsi" w:cstheme="majorHAnsi"/>
                <w:b/>
                <w:sz w:val="24"/>
                <w:szCs w:val="24"/>
              </w:rPr>
              <w:t>Administrations</w:t>
            </w:r>
          </w:p>
        </w:tc>
        <w:tc>
          <w:tcPr>
            <w:tcW w:w="6568" w:type="dxa"/>
            <w:vAlign w:val="center"/>
          </w:tcPr>
          <w:p w14:paraId="41913B7F"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Gestion comptable, fiscale et financière</w:t>
            </w:r>
          </w:p>
        </w:tc>
      </w:tr>
      <w:tr w:rsidR="007C0F8E" w:rsidRPr="00F2118F" w14:paraId="4024F39E" w14:textId="77777777" w:rsidTr="0051450F">
        <w:tc>
          <w:tcPr>
            <w:tcW w:w="3061" w:type="dxa"/>
            <w:vMerge/>
          </w:tcPr>
          <w:p w14:paraId="674AF4F1" w14:textId="77777777" w:rsidR="007C0F8E" w:rsidRPr="006778FA" w:rsidRDefault="007C0F8E" w:rsidP="0051450F">
            <w:pPr>
              <w:spacing w:line="360" w:lineRule="auto"/>
              <w:jc w:val="both"/>
              <w:rPr>
                <w:b/>
                <w:sz w:val="24"/>
                <w:szCs w:val="24"/>
              </w:rPr>
            </w:pPr>
          </w:p>
        </w:tc>
        <w:tc>
          <w:tcPr>
            <w:tcW w:w="6568" w:type="dxa"/>
            <w:vAlign w:val="center"/>
          </w:tcPr>
          <w:p w14:paraId="41A3B35E"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Gestion et pilotage des ressources humaines</w:t>
            </w:r>
          </w:p>
        </w:tc>
      </w:tr>
      <w:tr w:rsidR="007C0F8E" w:rsidRPr="00F2118F" w14:paraId="51F89D6B" w14:textId="77777777" w:rsidTr="0051450F">
        <w:tc>
          <w:tcPr>
            <w:tcW w:w="3061" w:type="dxa"/>
            <w:vMerge/>
          </w:tcPr>
          <w:p w14:paraId="64A2BF66" w14:textId="77777777" w:rsidR="007C0F8E" w:rsidRPr="006778FA" w:rsidRDefault="007C0F8E" w:rsidP="0051450F">
            <w:pPr>
              <w:spacing w:line="360" w:lineRule="auto"/>
              <w:jc w:val="both"/>
              <w:rPr>
                <w:b/>
                <w:sz w:val="24"/>
                <w:szCs w:val="24"/>
              </w:rPr>
            </w:pPr>
          </w:p>
        </w:tc>
        <w:tc>
          <w:tcPr>
            <w:tcW w:w="6568" w:type="dxa"/>
            <w:vAlign w:val="center"/>
          </w:tcPr>
          <w:p w14:paraId="5295A570"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 xml:space="preserve">Gestion, </w:t>
            </w:r>
            <w:r>
              <w:rPr>
                <w:rFonts w:asciiTheme="majorHAnsi" w:hAnsiTheme="majorHAnsi" w:cstheme="majorHAnsi"/>
                <w:i/>
                <w:sz w:val="24"/>
                <w:szCs w:val="24"/>
              </w:rPr>
              <w:t xml:space="preserve">entrepreneuriat et management </w:t>
            </w:r>
            <w:r w:rsidRPr="007C0F8E">
              <w:rPr>
                <w:rFonts w:asciiTheme="majorHAnsi" w:hAnsiTheme="majorHAnsi" w:cstheme="majorHAnsi"/>
                <w:i/>
                <w:sz w:val="24"/>
                <w:szCs w:val="24"/>
              </w:rPr>
              <w:t xml:space="preserve">des </w:t>
            </w:r>
            <w:r w:rsidRPr="00B83CC3">
              <w:rPr>
                <w:rFonts w:asciiTheme="majorHAnsi" w:hAnsiTheme="majorHAnsi" w:cstheme="majorHAnsi"/>
                <w:i/>
                <w:sz w:val="24"/>
                <w:szCs w:val="24"/>
              </w:rPr>
              <w:t>activités</w:t>
            </w:r>
          </w:p>
        </w:tc>
      </w:tr>
      <w:tr w:rsidR="007C0F8E" w:rsidRPr="00F2118F" w14:paraId="42E7F001" w14:textId="77777777" w:rsidTr="0051450F">
        <w:tc>
          <w:tcPr>
            <w:tcW w:w="3061" w:type="dxa"/>
            <w:vMerge/>
          </w:tcPr>
          <w:p w14:paraId="49BBE2A5" w14:textId="77777777" w:rsidR="007C0F8E" w:rsidRDefault="007C0F8E" w:rsidP="0051450F">
            <w:pPr>
              <w:spacing w:line="360" w:lineRule="auto"/>
              <w:jc w:val="both"/>
              <w:rPr>
                <w:b/>
              </w:rPr>
            </w:pPr>
          </w:p>
        </w:tc>
        <w:tc>
          <w:tcPr>
            <w:tcW w:w="6568" w:type="dxa"/>
            <w:vAlign w:val="center"/>
          </w:tcPr>
          <w:p w14:paraId="47F2A670"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Contrôle de gestion et pilotage de la performance</w:t>
            </w:r>
          </w:p>
        </w:tc>
      </w:tr>
    </w:tbl>
    <w:p w14:paraId="56EF1D9E" w14:textId="5CE4B257" w:rsidR="007C0F8E" w:rsidRPr="00C03BC0" w:rsidRDefault="007C0F8E" w:rsidP="00C03BC0">
      <w:pPr>
        <w:spacing w:after="100"/>
        <w:jc w:val="both"/>
        <w:rPr>
          <w:rFonts w:asciiTheme="majorHAnsi" w:hAnsiTheme="majorHAnsi" w:cstheme="majorHAnsi"/>
          <w:b/>
          <w:color w:val="1F497D" w:themeColor="text2"/>
          <w:sz w:val="10"/>
          <w:szCs w:val="10"/>
          <w:lang w:eastAsia="en-US"/>
        </w:rPr>
      </w:pPr>
    </w:p>
    <w:tbl>
      <w:tblPr>
        <w:tblStyle w:val="Grilledutableau"/>
        <w:tblW w:w="0" w:type="auto"/>
        <w:tblLook w:val="04A0" w:firstRow="1" w:lastRow="0" w:firstColumn="1" w:lastColumn="0" w:noHBand="0" w:noVBand="1"/>
      </w:tblPr>
      <w:tblGrid>
        <w:gridCol w:w="3061"/>
        <w:gridCol w:w="6568"/>
      </w:tblGrid>
      <w:tr w:rsidR="00FF1BED" w:rsidRPr="00AD3125" w14:paraId="5F701A54" w14:textId="77777777" w:rsidTr="0051450F">
        <w:tc>
          <w:tcPr>
            <w:tcW w:w="3061" w:type="dxa"/>
            <w:vMerge w:val="restart"/>
            <w:vAlign w:val="center"/>
          </w:tcPr>
          <w:p w14:paraId="2E502CA3" w14:textId="75EFD341" w:rsidR="00FF1BED" w:rsidRPr="005054C9" w:rsidRDefault="00FF1BED" w:rsidP="005054C9">
            <w:pPr>
              <w:spacing w:line="360" w:lineRule="auto"/>
              <w:jc w:val="center"/>
              <w:rPr>
                <w:rFonts w:asciiTheme="majorHAnsi" w:hAnsiTheme="majorHAnsi" w:cstheme="majorHAnsi"/>
                <w:b/>
                <w:sz w:val="24"/>
                <w:szCs w:val="24"/>
              </w:rPr>
            </w:pPr>
            <w:r w:rsidRPr="00B83CC3">
              <w:rPr>
                <w:rFonts w:asciiTheme="majorHAnsi" w:hAnsiTheme="majorHAnsi" w:cstheme="majorHAnsi"/>
                <w:b/>
                <w:sz w:val="24"/>
                <w:szCs w:val="24"/>
              </w:rPr>
              <w:t>BUT Génie Mécanique et Productique</w:t>
            </w:r>
          </w:p>
        </w:tc>
        <w:tc>
          <w:tcPr>
            <w:tcW w:w="6568" w:type="dxa"/>
            <w:vAlign w:val="center"/>
          </w:tcPr>
          <w:p w14:paraId="54CD34D1" w14:textId="77777777" w:rsidR="00FF1BED" w:rsidRPr="00B83CC3" w:rsidRDefault="00FF1BED" w:rsidP="0051450F">
            <w:pPr>
              <w:jc w:val="both"/>
              <w:rPr>
                <w:rFonts w:asciiTheme="majorHAnsi" w:hAnsiTheme="majorHAnsi" w:cstheme="majorHAnsi"/>
                <w:i/>
                <w:sz w:val="24"/>
                <w:szCs w:val="24"/>
              </w:rPr>
            </w:pPr>
            <w:r w:rsidRPr="00B83CC3">
              <w:rPr>
                <w:rFonts w:asciiTheme="majorHAnsi" w:hAnsiTheme="majorHAnsi" w:cstheme="majorHAnsi"/>
                <w:i/>
                <w:sz w:val="24"/>
                <w:szCs w:val="24"/>
              </w:rPr>
              <w:t>Innovation pour l'industrie</w:t>
            </w:r>
          </w:p>
        </w:tc>
      </w:tr>
      <w:tr w:rsidR="00FF1BED" w:rsidRPr="00AD3125" w14:paraId="35D5A82B" w14:textId="77777777" w:rsidTr="0051450F">
        <w:tc>
          <w:tcPr>
            <w:tcW w:w="3061" w:type="dxa"/>
            <w:vMerge/>
          </w:tcPr>
          <w:p w14:paraId="023FA8BF" w14:textId="77777777" w:rsidR="00FF1BED" w:rsidRPr="006778FA" w:rsidRDefault="00FF1BED" w:rsidP="0051450F">
            <w:pPr>
              <w:spacing w:line="360" w:lineRule="auto"/>
              <w:jc w:val="both"/>
              <w:rPr>
                <w:b/>
                <w:sz w:val="24"/>
                <w:szCs w:val="24"/>
              </w:rPr>
            </w:pPr>
          </w:p>
        </w:tc>
        <w:tc>
          <w:tcPr>
            <w:tcW w:w="6568" w:type="dxa"/>
            <w:vAlign w:val="center"/>
          </w:tcPr>
          <w:p w14:paraId="5F395744" w14:textId="77777777" w:rsidR="00FF1BED" w:rsidRPr="00B83CC3" w:rsidRDefault="00FF1BED" w:rsidP="0051450F">
            <w:pPr>
              <w:jc w:val="both"/>
              <w:rPr>
                <w:rFonts w:asciiTheme="majorHAnsi" w:hAnsiTheme="majorHAnsi" w:cstheme="majorHAnsi"/>
                <w:i/>
                <w:sz w:val="24"/>
                <w:szCs w:val="24"/>
              </w:rPr>
            </w:pPr>
            <w:r w:rsidRPr="00B83CC3">
              <w:rPr>
                <w:rFonts w:asciiTheme="majorHAnsi" w:hAnsiTheme="majorHAnsi" w:cstheme="majorHAnsi"/>
                <w:i/>
                <w:sz w:val="24"/>
                <w:szCs w:val="24"/>
              </w:rPr>
              <w:t>Management de processus industriel</w:t>
            </w:r>
          </w:p>
        </w:tc>
      </w:tr>
      <w:tr w:rsidR="00FF1BED" w:rsidRPr="00F2118F" w14:paraId="741F02D8" w14:textId="77777777" w:rsidTr="0051450F">
        <w:tc>
          <w:tcPr>
            <w:tcW w:w="3061" w:type="dxa"/>
            <w:vMerge/>
          </w:tcPr>
          <w:p w14:paraId="60A149A5" w14:textId="77777777" w:rsidR="00FF1BED" w:rsidRDefault="00FF1BED" w:rsidP="0051450F">
            <w:pPr>
              <w:spacing w:line="360" w:lineRule="auto"/>
              <w:jc w:val="both"/>
              <w:rPr>
                <w:b/>
              </w:rPr>
            </w:pPr>
          </w:p>
        </w:tc>
        <w:tc>
          <w:tcPr>
            <w:tcW w:w="6568" w:type="dxa"/>
            <w:vAlign w:val="center"/>
          </w:tcPr>
          <w:p w14:paraId="2693187C" w14:textId="77777777" w:rsidR="00FF1BED" w:rsidRPr="00B83CC3" w:rsidRDefault="00FF1BED" w:rsidP="0051450F">
            <w:pPr>
              <w:jc w:val="both"/>
              <w:rPr>
                <w:rFonts w:asciiTheme="majorHAnsi" w:hAnsiTheme="majorHAnsi" w:cstheme="majorHAnsi"/>
                <w:i/>
                <w:sz w:val="24"/>
                <w:szCs w:val="24"/>
              </w:rPr>
            </w:pPr>
            <w:r w:rsidRPr="00B83CC3">
              <w:rPr>
                <w:rFonts w:asciiTheme="majorHAnsi" w:hAnsiTheme="majorHAnsi" w:cstheme="majorHAnsi"/>
                <w:i/>
                <w:sz w:val="24"/>
                <w:szCs w:val="24"/>
              </w:rPr>
              <w:t>Simulation numérique et réalité virtuelle</w:t>
            </w:r>
          </w:p>
        </w:tc>
      </w:tr>
      <w:tr w:rsidR="00FF1BED" w:rsidRPr="00AD3125" w14:paraId="6FE3845F" w14:textId="77777777" w:rsidTr="0051450F">
        <w:tc>
          <w:tcPr>
            <w:tcW w:w="3061" w:type="dxa"/>
            <w:vMerge/>
          </w:tcPr>
          <w:p w14:paraId="64BD0257" w14:textId="77777777" w:rsidR="00FF1BED" w:rsidRDefault="00FF1BED" w:rsidP="0051450F">
            <w:pPr>
              <w:spacing w:line="360" w:lineRule="auto"/>
              <w:jc w:val="both"/>
              <w:rPr>
                <w:b/>
              </w:rPr>
            </w:pPr>
          </w:p>
        </w:tc>
        <w:tc>
          <w:tcPr>
            <w:tcW w:w="6568" w:type="dxa"/>
            <w:vAlign w:val="center"/>
          </w:tcPr>
          <w:p w14:paraId="420FB6C5" w14:textId="52777DCC" w:rsidR="00FF1BED" w:rsidRPr="00B83CC3" w:rsidRDefault="00FF1BED" w:rsidP="0051450F">
            <w:pPr>
              <w:jc w:val="both"/>
              <w:rPr>
                <w:rFonts w:asciiTheme="majorHAnsi" w:hAnsiTheme="majorHAnsi" w:cstheme="majorHAnsi"/>
                <w:i/>
                <w:sz w:val="24"/>
                <w:szCs w:val="24"/>
              </w:rPr>
            </w:pPr>
            <w:r w:rsidRPr="00B83CC3">
              <w:rPr>
                <w:rFonts w:asciiTheme="majorHAnsi" w:hAnsiTheme="majorHAnsi" w:cstheme="majorHAnsi"/>
                <w:i/>
                <w:sz w:val="24"/>
                <w:szCs w:val="24"/>
              </w:rPr>
              <w:t>Conception et production durable</w:t>
            </w:r>
          </w:p>
        </w:tc>
      </w:tr>
      <w:tr w:rsidR="00FF1BED" w:rsidRPr="00AD3125" w14:paraId="583A232D" w14:textId="77777777" w:rsidTr="0051450F">
        <w:tc>
          <w:tcPr>
            <w:tcW w:w="3061" w:type="dxa"/>
            <w:vMerge/>
          </w:tcPr>
          <w:p w14:paraId="4A9D473B" w14:textId="51938EA2" w:rsidR="00FF1BED" w:rsidRDefault="00FF1BED" w:rsidP="0051450F">
            <w:pPr>
              <w:spacing w:line="360" w:lineRule="auto"/>
              <w:jc w:val="both"/>
              <w:rPr>
                <w:b/>
              </w:rPr>
            </w:pPr>
          </w:p>
        </w:tc>
        <w:tc>
          <w:tcPr>
            <w:tcW w:w="6568" w:type="dxa"/>
            <w:vAlign w:val="center"/>
          </w:tcPr>
          <w:p w14:paraId="0EC28A23" w14:textId="54F220D0" w:rsidR="00FF1BED" w:rsidRPr="00B83CC3" w:rsidRDefault="00C03BC0" w:rsidP="0051450F">
            <w:pPr>
              <w:jc w:val="both"/>
              <w:rPr>
                <w:rFonts w:asciiTheme="majorHAnsi" w:hAnsiTheme="majorHAnsi" w:cstheme="majorHAnsi"/>
                <w:i/>
              </w:rPr>
            </w:pPr>
            <w:r w:rsidRPr="00B83CC3">
              <w:rPr>
                <w:rFonts w:asciiTheme="majorHAnsi" w:hAnsiTheme="majorHAnsi" w:cstheme="majorHAnsi"/>
                <w:i/>
                <w:sz w:val="24"/>
                <w:szCs w:val="24"/>
              </w:rPr>
              <w:t>Chargé d'affaires industrielles</w:t>
            </w:r>
            <w:r>
              <w:rPr>
                <w:rFonts w:asciiTheme="majorHAnsi" w:hAnsiTheme="majorHAnsi" w:cstheme="majorHAnsi"/>
                <w:i/>
                <w:sz w:val="24"/>
                <w:szCs w:val="24"/>
              </w:rPr>
              <w:t xml:space="preserve"> (2</w:t>
            </w:r>
            <w:r w:rsidRPr="00C03BC0">
              <w:rPr>
                <w:rFonts w:asciiTheme="majorHAnsi" w:hAnsiTheme="majorHAnsi" w:cstheme="majorHAnsi"/>
                <w:i/>
                <w:sz w:val="24"/>
                <w:szCs w:val="24"/>
                <w:vertAlign w:val="superscript"/>
              </w:rPr>
              <w:t>ème</w:t>
            </w:r>
            <w:r>
              <w:rPr>
                <w:rFonts w:asciiTheme="majorHAnsi" w:hAnsiTheme="majorHAnsi" w:cstheme="majorHAnsi"/>
                <w:i/>
                <w:sz w:val="24"/>
                <w:szCs w:val="24"/>
              </w:rPr>
              <w:t xml:space="preserve"> et 3</w:t>
            </w:r>
            <w:r w:rsidRPr="00C03BC0">
              <w:rPr>
                <w:rFonts w:asciiTheme="majorHAnsi" w:hAnsiTheme="majorHAnsi" w:cstheme="majorHAnsi"/>
                <w:i/>
                <w:sz w:val="24"/>
                <w:szCs w:val="24"/>
                <w:vertAlign w:val="superscript"/>
              </w:rPr>
              <w:t>ème</w:t>
            </w:r>
            <w:r>
              <w:rPr>
                <w:rFonts w:asciiTheme="majorHAnsi" w:hAnsiTheme="majorHAnsi" w:cstheme="majorHAnsi"/>
                <w:i/>
                <w:sz w:val="24"/>
                <w:szCs w:val="24"/>
              </w:rPr>
              <w:t xml:space="preserve"> années)</w:t>
            </w:r>
          </w:p>
        </w:tc>
      </w:tr>
    </w:tbl>
    <w:p w14:paraId="065A246E" w14:textId="77777777" w:rsidR="007C0F8E" w:rsidRPr="00C03BC0" w:rsidRDefault="007C0F8E" w:rsidP="00C03BC0">
      <w:pPr>
        <w:spacing w:after="100"/>
        <w:jc w:val="both"/>
        <w:rPr>
          <w:rFonts w:asciiTheme="majorHAnsi" w:hAnsiTheme="majorHAnsi" w:cstheme="majorHAnsi"/>
          <w:b/>
          <w:color w:val="1F497D" w:themeColor="text2"/>
          <w:sz w:val="10"/>
          <w:szCs w:val="10"/>
          <w:lang w:eastAsia="en-US"/>
        </w:rPr>
      </w:pPr>
    </w:p>
    <w:tbl>
      <w:tblPr>
        <w:tblStyle w:val="Grilledutableau"/>
        <w:tblW w:w="0" w:type="auto"/>
        <w:tblLook w:val="04A0" w:firstRow="1" w:lastRow="0" w:firstColumn="1" w:lastColumn="0" w:noHBand="0" w:noVBand="1"/>
      </w:tblPr>
      <w:tblGrid>
        <w:gridCol w:w="3061"/>
        <w:gridCol w:w="6568"/>
      </w:tblGrid>
      <w:tr w:rsidR="007C0F8E" w:rsidRPr="00AD3125" w14:paraId="78372FCF" w14:textId="77777777" w:rsidTr="0051450F">
        <w:tc>
          <w:tcPr>
            <w:tcW w:w="3061" w:type="dxa"/>
            <w:vMerge w:val="restart"/>
            <w:vAlign w:val="center"/>
          </w:tcPr>
          <w:p w14:paraId="4B344370" w14:textId="77777777" w:rsidR="007C0F8E" w:rsidRPr="006778FA" w:rsidRDefault="007C0F8E" w:rsidP="0051450F">
            <w:pPr>
              <w:spacing w:line="360" w:lineRule="auto"/>
              <w:jc w:val="center"/>
              <w:rPr>
                <w:b/>
                <w:sz w:val="24"/>
                <w:szCs w:val="24"/>
              </w:rPr>
            </w:pPr>
            <w:r w:rsidRPr="00B83CC3">
              <w:rPr>
                <w:rFonts w:asciiTheme="majorHAnsi" w:hAnsiTheme="majorHAnsi" w:cstheme="majorHAnsi"/>
                <w:b/>
                <w:sz w:val="24"/>
                <w:szCs w:val="24"/>
              </w:rPr>
              <w:t>BUT Génie Industriel et Maintenance</w:t>
            </w:r>
          </w:p>
        </w:tc>
        <w:tc>
          <w:tcPr>
            <w:tcW w:w="6568" w:type="dxa"/>
            <w:vAlign w:val="center"/>
          </w:tcPr>
          <w:p w14:paraId="2F0BF15C"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 xml:space="preserve">Ingénierie des systèmes </w:t>
            </w:r>
            <w:proofErr w:type="spellStart"/>
            <w:r w:rsidRPr="00B83CC3">
              <w:rPr>
                <w:rFonts w:asciiTheme="majorHAnsi" w:hAnsiTheme="majorHAnsi" w:cstheme="majorHAnsi"/>
                <w:i/>
                <w:sz w:val="24"/>
                <w:szCs w:val="24"/>
              </w:rPr>
              <w:t>pluritechniques</w:t>
            </w:r>
            <w:proofErr w:type="spellEnd"/>
          </w:p>
        </w:tc>
      </w:tr>
      <w:tr w:rsidR="007C0F8E" w:rsidRPr="00AD3125" w14:paraId="2464A3C5" w14:textId="77777777" w:rsidTr="00C03BC0">
        <w:trPr>
          <w:trHeight w:val="409"/>
        </w:trPr>
        <w:tc>
          <w:tcPr>
            <w:tcW w:w="3061" w:type="dxa"/>
            <w:vMerge/>
          </w:tcPr>
          <w:p w14:paraId="78320CC9" w14:textId="77777777" w:rsidR="007C0F8E" w:rsidRPr="006778FA" w:rsidRDefault="007C0F8E" w:rsidP="0051450F">
            <w:pPr>
              <w:spacing w:line="360" w:lineRule="auto"/>
              <w:jc w:val="both"/>
              <w:rPr>
                <w:b/>
                <w:sz w:val="24"/>
                <w:szCs w:val="24"/>
              </w:rPr>
            </w:pPr>
          </w:p>
        </w:tc>
        <w:tc>
          <w:tcPr>
            <w:tcW w:w="6568" w:type="dxa"/>
            <w:vAlign w:val="center"/>
          </w:tcPr>
          <w:p w14:paraId="33216D23"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Management, méthodes, maintenance innovante</w:t>
            </w:r>
          </w:p>
        </w:tc>
      </w:tr>
    </w:tbl>
    <w:p w14:paraId="43EB7E0E" w14:textId="77777777" w:rsidR="007C0F8E" w:rsidRPr="00C03BC0" w:rsidRDefault="007C0F8E" w:rsidP="00C03BC0">
      <w:pPr>
        <w:spacing w:after="100"/>
        <w:jc w:val="both"/>
        <w:rPr>
          <w:rFonts w:asciiTheme="majorHAnsi" w:hAnsiTheme="majorHAnsi" w:cstheme="majorHAnsi"/>
          <w:b/>
          <w:color w:val="1F497D" w:themeColor="text2"/>
          <w:sz w:val="10"/>
          <w:szCs w:val="10"/>
          <w:lang w:eastAsia="en-US"/>
        </w:rPr>
      </w:pPr>
    </w:p>
    <w:tbl>
      <w:tblPr>
        <w:tblStyle w:val="Grilledutableau"/>
        <w:tblW w:w="0" w:type="auto"/>
        <w:tblLook w:val="04A0" w:firstRow="1" w:lastRow="0" w:firstColumn="1" w:lastColumn="0" w:noHBand="0" w:noVBand="1"/>
      </w:tblPr>
      <w:tblGrid>
        <w:gridCol w:w="3061"/>
        <w:gridCol w:w="6568"/>
      </w:tblGrid>
      <w:tr w:rsidR="007C0F8E" w:rsidRPr="00F2118F" w14:paraId="5F1E99BB" w14:textId="77777777" w:rsidTr="0051450F">
        <w:tc>
          <w:tcPr>
            <w:tcW w:w="3061" w:type="dxa"/>
            <w:vMerge w:val="restart"/>
            <w:vAlign w:val="center"/>
          </w:tcPr>
          <w:p w14:paraId="3C4FAF7C" w14:textId="77777777" w:rsidR="007C0F8E" w:rsidRPr="006778FA" w:rsidRDefault="007C0F8E" w:rsidP="0051450F">
            <w:pPr>
              <w:spacing w:line="360" w:lineRule="auto"/>
              <w:jc w:val="center"/>
              <w:rPr>
                <w:b/>
                <w:sz w:val="24"/>
                <w:szCs w:val="24"/>
              </w:rPr>
            </w:pPr>
            <w:r w:rsidRPr="00B83CC3">
              <w:rPr>
                <w:rFonts w:asciiTheme="majorHAnsi" w:hAnsiTheme="majorHAnsi" w:cstheme="majorHAnsi"/>
                <w:b/>
                <w:sz w:val="24"/>
                <w:szCs w:val="24"/>
              </w:rPr>
              <w:t>BUT Science et Génie des Matériaux</w:t>
            </w:r>
          </w:p>
        </w:tc>
        <w:tc>
          <w:tcPr>
            <w:tcW w:w="6568" w:type="dxa"/>
            <w:vAlign w:val="center"/>
          </w:tcPr>
          <w:p w14:paraId="580BFE10"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Métiers de l'ingénierie des matériaux et des produits</w:t>
            </w:r>
          </w:p>
        </w:tc>
      </w:tr>
      <w:tr w:rsidR="007C0F8E" w:rsidRPr="00F2118F" w14:paraId="7AB94633" w14:textId="77777777" w:rsidTr="0051450F">
        <w:tc>
          <w:tcPr>
            <w:tcW w:w="3061" w:type="dxa"/>
            <w:vMerge/>
          </w:tcPr>
          <w:p w14:paraId="33FC86AE" w14:textId="77777777" w:rsidR="007C0F8E" w:rsidRPr="006778FA" w:rsidRDefault="007C0F8E" w:rsidP="0051450F">
            <w:pPr>
              <w:spacing w:line="360" w:lineRule="auto"/>
              <w:jc w:val="both"/>
              <w:rPr>
                <w:b/>
                <w:sz w:val="24"/>
                <w:szCs w:val="24"/>
              </w:rPr>
            </w:pPr>
          </w:p>
        </w:tc>
        <w:tc>
          <w:tcPr>
            <w:tcW w:w="6568" w:type="dxa"/>
            <w:vAlign w:val="center"/>
          </w:tcPr>
          <w:p w14:paraId="79C7A2B0"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Métiers de la caractérisation et de l'expertise des matériaux et des produits</w:t>
            </w:r>
          </w:p>
        </w:tc>
      </w:tr>
    </w:tbl>
    <w:p w14:paraId="30C713EE" w14:textId="77777777" w:rsidR="007C0F8E" w:rsidRDefault="007C0F8E" w:rsidP="007C0F8E">
      <w:pPr>
        <w:jc w:val="both"/>
        <w:rPr>
          <w:b/>
          <w:color w:val="1F497D" w:themeColor="text2"/>
          <w:sz w:val="10"/>
          <w:szCs w:val="10"/>
          <w:lang w:eastAsia="en-US"/>
        </w:rPr>
      </w:pPr>
    </w:p>
    <w:tbl>
      <w:tblPr>
        <w:tblStyle w:val="Grilledutableau"/>
        <w:tblW w:w="0" w:type="auto"/>
        <w:tblLook w:val="04A0" w:firstRow="1" w:lastRow="0" w:firstColumn="1" w:lastColumn="0" w:noHBand="0" w:noVBand="1"/>
      </w:tblPr>
      <w:tblGrid>
        <w:gridCol w:w="3061"/>
        <w:gridCol w:w="6568"/>
      </w:tblGrid>
      <w:tr w:rsidR="007C0F8E" w:rsidRPr="00F2118F" w14:paraId="27DF1E64" w14:textId="77777777" w:rsidTr="0051450F">
        <w:tc>
          <w:tcPr>
            <w:tcW w:w="3061" w:type="dxa"/>
            <w:vAlign w:val="center"/>
          </w:tcPr>
          <w:p w14:paraId="60545F9C" w14:textId="77777777" w:rsidR="007C0F8E" w:rsidRPr="006778FA" w:rsidRDefault="007C0F8E" w:rsidP="0051450F">
            <w:pPr>
              <w:spacing w:line="360" w:lineRule="auto"/>
              <w:jc w:val="center"/>
              <w:rPr>
                <w:b/>
                <w:sz w:val="24"/>
                <w:szCs w:val="24"/>
              </w:rPr>
            </w:pPr>
            <w:r w:rsidRPr="00B83CC3">
              <w:rPr>
                <w:rFonts w:asciiTheme="majorHAnsi" w:hAnsiTheme="majorHAnsi" w:cstheme="majorHAnsi"/>
                <w:b/>
                <w:sz w:val="24"/>
                <w:szCs w:val="24"/>
              </w:rPr>
              <w:lastRenderedPageBreak/>
              <w:t>BUT Hygiène, Sécurité et Environnement</w:t>
            </w:r>
          </w:p>
        </w:tc>
        <w:tc>
          <w:tcPr>
            <w:tcW w:w="6568" w:type="dxa"/>
            <w:vAlign w:val="center"/>
          </w:tcPr>
          <w:p w14:paraId="1FE4CED2" w14:textId="77777777" w:rsidR="007C0F8E" w:rsidRPr="006E0E5B" w:rsidRDefault="007C0F8E" w:rsidP="0051450F">
            <w:pPr>
              <w:jc w:val="both"/>
              <w:rPr>
                <w:i/>
                <w:sz w:val="24"/>
                <w:szCs w:val="24"/>
              </w:rPr>
            </w:pPr>
            <w:r w:rsidRPr="00B83CC3">
              <w:rPr>
                <w:rFonts w:asciiTheme="majorHAnsi" w:hAnsiTheme="majorHAnsi" w:cstheme="majorHAnsi"/>
                <w:i/>
                <w:sz w:val="24"/>
                <w:szCs w:val="24"/>
              </w:rPr>
              <w:t>Science du danger et management des risques professionnels technologiques et environnementaux</w:t>
            </w:r>
          </w:p>
        </w:tc>
      </w:tr>
    </w:tbl>
    <w:p w14:paraId="359D9C79" w14:textId="77777777" w:rsidR="007C0F8E" w:rsidRDefault="007C0F8E" w:rsidP="007C0F8E">
      <w:pPr>
        <w:jc w:val="both"/>
        <w:rPr>
          <w:b/>
          <w:color w:val="1F497D" w:themeColor="text2"/>
          <w:sz w:val="10"/>
          <w:szCs w:val="10"/>
          <w:lang w:eastAsia="en-US"/>
        </w:rPr>
      </w:pPr>
    </w:p>
    <w:tbl>
      <w:tblPr>
        <w:tblStyle w:val="Grilledutableau"/>
        <w:tblW w:w="0" w:type="auto"/>
        <w:tblLook w:val="04A0" w:firstRow="1" w:lastRow="0" w:firstColumn="1" w:lastColumn="0" w:noHBand="0" w:noVBand="1"/>
      </w:tblPr>
      <w:tblGrid>
        <w:gridCol w:w="3061"/>
        <w:gridCol w:w="6568"/>
      </w:tblGrid>
      <w:tr w:rsidR="007C0F8E" w:rsidRPr="00CF18DB" w14:paraId="459BFAD2" w14:textId="77777777" w:rsidTr="0051450F">
        <w:tc>
          <w:tcPr>
            <w:tcW w:w="3061" w:type="dxa"/>
            <w:vMerge w:val="restart"/>
            <w:vAlign w:val="center"/>
          </w:tcPr>
          <w:p w14:paraId="7A88A5FF" w14:textId="77777777" w:rsidR="007C0F8E" w:rsidRPr="006778FA" w:rsidRDefault="007C0F8E" w:rsidP="0051450F">
            <w:pPr>
              <w:spacing w:line="360" w:lineRule="auto"/>
              <w:jc w:val="center"/>
              <w:rPr>
                <w:b/>
                <w:sz w:val="24"/>
                <w:szCs w:val="24"/>
              </w:rPr>
            </w:pPr>
            <w:r w:rsidRPr="00B83CC3">
              <w:rPr>
                <w:rFonts w:asciiTheme="majorHAnsi" w:hAnsiTheme="majorHAnsi" w:cstheme="majorHAnsi"/>
                <w:b/>
                <w:sz w:val="24"/>
                <w:szCs w:val="24"/>
              </w:rPr>
              <w:t>BUT Mesures Physiques</w:t>
            </w:r>
          </w:p>
        </w:tc>
        <w:tc>
          <w:tcPr>
            <w:tcW w:w="6568" w:type="dxa"/>
            <w:vAlign w:val="center"/>
          </w:tcPr>
          <w:p w14:paraId="675511E2"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Techniques d'instrumentation</w:t>
            </w:r>
          </w:p>
        </w:tc>
      </w:tr>
      <w:tr w:rsidR="007C0F8E" w:rsidRPr="00CF18DB" w14:paraId="3EC37784" w14:textId="77777777" w:rsidTr="0051450F">
        <w:tc>
          <w:tcPr>
            <w:tcW w:w="3061" w:type="dxa"/>
            <w:vMerge/>
          </w:tcPr>
          <w:p w14:paraId="0BF21D77" w14:textId="77777777" w:rsidR="007C0F8E" w:rsidRPr="006778FA" w:rsidRDefault="007C0F8E" w:rsidP="0051450F">
            <w:pPr>
              <w:spacing w:line="360" w:lineRule="auto"/>
              <w:jc w:val="both"/>
              <w:rPr>
                <w:b/>
                <w:sz w:val="24"/>
                <w:szCs w:val="24"/>
              </w:rPr>
            </w:pPr>
          </w:p>
        </w:tc>
        <w:tc>
          <w:tcPr>
            <w:tcW w:w="6568" w:type="dxa"/>
            <w:vAlign w:val="center"/>
          </w:tcPr>
          <w:p w14:paraId="6261032B" w14:textId="77777777" w:rsidR="007C0F8E" w:rsidRPr="00B83CC3" w:rsidRDefault="007C0F8E" w:rsidP="0051450F">
            <w:pPr>
              <w:jc w:val="both"/>
              <w:rPr>
                <w:rFonts w:asciiTheme="majorHAnsi" w:hAnsiTheme="majorHAnsi" w:cstheme="majorHAnsi"/>
                <w:i/>
                <w:sz w:val="24"/>
                <w:szCs w:val="24"/>
              </w:rPr>
            </w:pPr>
            <w:r w:rsidRPr="00B83CC3">
              <w:rPr>
                <w:rFonts w:asciiTheme="majorHAnsi" w:hAnsiTheme="majorHAnsi" w:cstheme="majorHAnsi"/>
                <w:i/>
                <w:sz w:val="24"/>
                <w:szCs w:val="24"/>
              </w:rPr>
              <w:t>Mesures et analyses environnementales</w:t>
            </w:r>
          </w:p>
        </w:tc>
      </w:tr>
    </w:tbl>
    <w:p w14:paraId="29A64EEC" w14:textId="77777777" w:rsidR="00F93AF5" w:rsidRDefault="001142DC" w:rsidP="00811D25">
      <w:pPr>
        <w:pStyle w:val="Titre1"/>
      </w:pPr>
      <w:r w:rsidRPr="00EA3B32">
        <w:t>Inscription :</w:t>
      </w:r>
    </w:p>
    <w:p w14:paraId="74A0D7DD" w14:textId="240A238E" w:rsidR="00342FAF" w:rsidRPr="006C6E69" w:rsidRDefault="00342FAF" w:rsidP="00811D25">
      <w:pPr>
        <w:pStyle w:val="Titre2"/>
      </w:pPr>
      <w:r w:rsidRPr="006C6E69">
        <w:t xml:space="preserve">Nombre d’inscriptions autorisé par </w:t>
      </w:r>
      <w:r w:rsidRPr="005A3884">
        <w:t>cycle ou par année</w:t>
      </w:r>
    </w:p>
    <w:p w14:paraId="59862CF9" w14:textId="5CBF4EFB" w:rsidR="00342FAF" w:rsidRPr="005A3884" w:rsidRDefault="00AA157D" w:rsidP="00774222">
      <w:pPr>
        <w:pStyle w:val="Texte"/>
      </w:pPr>
      <w:r w:rsidRPr="005A3884">
        <w:t xml:space="preserve">L’inscription en BUT est obligatoire et annuelle. La date limite d’inscription est votée en CFVU. </w:t>
      </w:r>
      <w:r w:rsidR="00342FAF" w:rsidRPr="005A3884">
        <w:t xml:space="preserve">Après la première inscription en première année de BUT, toutes les autres inscriptions sont soumises aux règles de progression durant le cursus de chaque étudiant. Elles sont décrites au point </w:t>
      </w:r>
      <w:r w:rsidR="008E4AD3" w:rsidRPr="005A3884">
        <w:t>6</w:t>
      </w:r>
      <w:r w:rsidR="00342FAF" w:rsidRPr="005A3884">
        <w:t>.</w:t>
      </w:r>
    </w:p>
    <w:p w14:paraId="3245DD49" w14:textId="1F05FC5A" w:rsidR="00DB1F9E" w:rsidRDefault="00DB1F9E" w:rsidP="00774222">
      <w:pPr>
        <w:pStyle w:val="Texte"/>
      </w:pPr>
      <w:r w:rsidRPr="005A3884">
        <w:t>L'admission au cours du cycle de formation est possible par validation d'acquis d'études par la commission d’admission qui est présidée par l</w:t>
      </w:r>
      <w:r w:rsidR="001D7CE7" w:rsidRPr="005A3884">
        <w:t>e</w:t>
      </w:r>
      <w:r w:rsidRPr="005A3884">
        <w:t xml:space="preserve"> direct</w:t>
      </w:r>
      <w:r w:rsidR="001D7CE7" w:rsidRPr="005A3884">
        <w:t>eur</w:t>
      </w:r>
      <w:r w:rsidRPr="005A3884">
        <w:t xml:space="preserve"> de l'IUT</w:t>
      </w:r>
      <w:r w:rsidRPr="00DB1F9E">
        <w:t>.</w:t>
      </w:r>
    </w:p>
    <w:p w14:paraId="0B7837AF" w14:textId="77777777" w:rsidR="00342FAF" w:rsidRPr="00817780" w:rsidRDefault="00342FAF" w:rsidP="00811D25">
      <w:pPr>
        <w:pStyle w:val="Titre2"/>
      </w:pPr>
      <w:r w:rsidRPr="00817780">
        <w:t>Suivi du contrat de réussite pédagogique</w:t>
      </w:r>
    </w:p>
    <w:p w14:paraId="1DFCE548" w14:textId="77777777" w:rsidR="00342FAF" w:rsidRPr="00B21A04" w:rsidRDefault="00342FAF" w:rsidP="00774222">
      <w:pPr>
        <w:pStyle w:val="Texte"/>
      </w:pPr>
      <w:r w:rsidRPr="00B21A04">
        <w:t xml:space="preserve">Le suivi du contrat de réussite pédagogique est réalisé à la fin de chaque semestre. L’entretien n’est pas systématique. Il est proposé aux étudiants : dont les résultats le nécessitent, qui souhaitent se réorienter ou qui le demandent notamment dans le cadre de leurs projets personnels et professionnels. </w:t>
      </w:r>
    </w:p>
    <w:p w14:paraId="75F40475" w14:textId="77777777" w:rsidR="00811D25" w:rsidRDefault="00F14418" w:rsidP="00811D25">
      <w:pPr>
        <w:pStyle w:val="Titre1"/>
      </w:pPr>
      <w:r w:rsidRPr="00F14418">
        <w:t>R</w:t>
      </w:r>
      <w:r w:rsidR="004C192F" w:rsidRPr="000A0B56">
        <w:t>ègles de validation</w:t>
      </w:r>
    </w:p>
    <w:p w14:paraId="1A1224FF" w14:textId="5DE359AC" w:rsidR="00F14418" w:rsidRPr="00F14418" w:rsidRDefault="00F14418" w:rsidP="00811D25">
      <w:pPr>
        <w:pStyle w:val="Titre2"/>
      </w:pPr>
      <w:r w:rsidRPr="00F14418">
        <w:t xml:space="preserve">Validation des UE et capitalisation </w:t>
      </w:r>
    </w:p>
    <w:p w14:paraId="452202E8" w14:textId="77777777" w:rsidR="00F14418" w:rsidRPr="00C40F4D" w:rsidRDefault="00F14418" w:rsidP="00774222">
      <w:pPr>
        <w:pStyle w:val="Texte"/>
      </w:pPr>
      <w:r w:rsidRPr="00AB4341">
        <w:t>Une unité d'enseignement est définitivement acquise et capitalisable dès lors que la moyenne obtenue à l’ensemble « pôle ressources » et « SAÉ » est égale ou supérieure à 10. L'acquisition de l'unité d'enseignement emporte l'acquisition des crédits européens correspondants.</w:t>
      </w:r>
    </w:p>
    <w:p w14:paraId="44D667EE" w14:textId="77777777" w:rsidR="00F14418" w:rsidRDefault="00F14418" w:rsidP="00774222">
      <w:pPr>
        <w:pStyle w:val="Texte"/>
      </w:pPr>
      <w:r w:rsidRPr="00C40F4D">
        <w:t>La validation des deux UE du niveau d’une compétence emporte la validation de l’ensemble des UE du niveau inférieur de cette même compétence.</w:t>
      </w:r>
    </w:p>
    <w:p w14:paraId="705DF3A5" w14:textId="614BFA68" w:rsidR="00F14418" w:rsidRDefault="00F14418" w:rsidP="00774222">
      <w:pPr>
        <w:pStyle w:val="Texte"/>
      </w:pPr>
      <w:r w:rsidRPr="008C237A">
        <w:t xml:space="preserve">Les </w:t>
      </w:r>
      <w:r>
        <w:t>UE acquises seules ou par compensation à travers les ensembles cohérents d’</w:t>
      </w:r>
      <w:r w:rsidRPr="008C237A">
        <w:t>unités d’enseignement sont définitivement capitalis</w:t>
      </w:r>
      <w:r>
        <w:t>able</w:t>
      </w:r>
      <w:r w:rsidRPr="008C237A">
        <w:t xml:space="preserve">s. </w:t>
      </w:r>
      <w:r w:rsidRPr="00774222">
        <w:t xml:space="preserve">Toute unité d’enseignement </w:t>
      </w:r>
      <w:r w:rsidR="004B580B" w:rsidRPr="00774222">
        <w:t xml:space="preserve">définitivement capitalisable est </w:t>
      </w:r>
      <w:r w:rsidRPr="00774222">
        <w:t xml:space="preserve">capitalisée </w:t>
      </w:r>
      <w:r w:rsidR="004B580B" w:rsidRPr="00774222">
        <w:t xml:space="preserve">sauf si l’étudiant concerné s’y oppose et le manifeste par une lettre manuscrite adressée </w:t>
      </w:r>
      <w:r w:rsidR="002D23DC" w:rsidRPr="00774222">
        <w:t>au</w:t>
      </w:r>
      <w:r w:rsidR="004B580B" w:rsidRPr="00774222">
        <w:t xml:space="preserve"> direct</w:t>
      </w:r>
      <w:r w:rsidR="002D23DC" w:rsidRPr="00774222">
        <w:t>eur</w:t>
      </w:r>
      <w:r w:rsidR="004B580B" w:rsidRPr="00774222">
        <w:t xml:space="preserve"> de l’IUT au plus tard 10 jours après la proclamation des résultats du jury. L’unité d’enseignement capitalisée</w:t>
      </w:r>
      <w:r w:rsidR="004B580B" w:rsidRPr="004B580B">
        <w:rPr>
          <w:color w:val="FF0000"/>
        </w:rPr>
        <w:t xml:space="preserve"> </w:t>
      </w:r>
      <w:r w:rsidRPr="008C237A">
        <w:t>est prise en compte dans le dispositif de compensation</w:t>
      </w:r>
      <w:r>
        <w:t xml:space="preserve"> dans le respect des regroupements cohérents</w:t>
      </w:r>
      <w:r w:rsidRPr="008C237A">
        <w:t>.</w:t>
      </w:r>
    </w:p>
    <w:p w14:paraId="5F58E724" w14:textId="77777777" w:rsidR="00F14418" w:rsidRPr="00B51BEB" w:rsidRDefault="00F14418" w:rsidP="00F14418">
      <w:pPr>
        <w:spacing w:before="100" w:after="0"/>
        <w:rPr>
          <w:rFonts w:ascii="Calibri" w:hAnsi="Calibri" w:cs="Calibri"/>
        </w:rPr>
      </w:pPr>
      <w:r w:rsidRPr="00B51BEB">
        <w:rPr>
          <w:rFonts w:ascii="Calibri" w:hAnsi="Calibri" w:cs="Calibri"/>
        </w:rPr>
        <w:t>Les codes utilisés pour indiquer la validation des UE sont les suivants :</w:t>
      </w:r>
    </w:p>
    <w:p w14:paraId="70A846FD" w14:textId="77777777" w:rsidR="00F14418" w:rsidRPr="00B51BEB" w:rsidRDefault="00F14418" w:rsidP="00F14418">
      <w:pPr>
        <w:spacing w:before="100" w:after="0"/>
        <w:rPr>
          <w:rFonts w:ascii="Calibri" w:hAnsi="Calibri" w:cs="Calibri"/>
        </w:rPr>
      </w:pPr>
      <w:r w:rsidRPr="00B51BEB">
        <w:rPr>
          <w:rFonts w:ascii="Calibri" w:hAnsi="Calibri" w:cs="Calibri"/>
          <w:b/>
        </w:rPr>
        <w:t>Validation des UE</w:t>
      </w:r>
      <w:r w:rsidRPr="00B51BEB">
        <w:rPr>
          <w:rFonts w:ascii="Calibri" w:hAnsi="Calibri" w:cs="Calibri"/>
        </w:rPr>
        <w:br/>
        <w:t>VAL (UE validée)</w:t>
      </w:r>
      <w:r w:rsidRPr="00B51BEB">
        <w:rPr>
          <w:rFonts w:ascii="Calibri" w:hAnsi="Calibri" w:cs="Calibri"/>
        </w:rPr>
        <w:br/>
        <w:t>NVAL (UE non validée)</w:t>
      </w:r>
    </w:p>
    <w:p w14:paraId="02B83BDE" w14:textId="77777777" w:rsidR="00F14418" w:rsidRPr="00B51BEB" w:rsidRDefault="00F14418" w:rsidP="00F14418">
      <w:pPr>
        <w:spacing w:before="200" w:after="0"/>
        <w:rPr>
          <w:rFonts w:ascii="Calibri" w:hAnsi="Calibri" w:cs="Calibri"/>
        </w:rPr>
      </w:pPr>
      <w:r w:rsidRPr="00B51BEB">
        <w:rPr>
          <w:rFonts w:ascii="Calibri" w:hAnsi="Calibri" w:cs="Calibri"/>
          <w:b/>
        </w:rPr>
        <w:t>Validation des compétences</w:t>
      </w:r>
      <w:r w:rsidRPr="00B51BEB">
        <w:rPr>
          <w:rFonts w:ascii="Calibri" w:hAnsi="Calibri" w:cs="Calibri"/>
        </w:rPr>
        <w:br/>
        <w:t>VAL (regroupement validé)</w:t>
      </w:r>
      <w:r w:rsidRPr="00B51BEB">
        <w:rPr>
          <w:rFonts w:ascii="Calibri" w:hAnsi="Calibri" w:cs="Calibri"/>
        </w:rPr>
        <w:br/>
        <w:t>VALC (regroupement validé par compensation)</w:t>
      </w:r>
      <w:r w:rsidRPr="00B51BEB">
        <w:rPr>
          <w:rFonts w:ascii="Calibri" w:hAnsi="Calibri" w:cs="Calibri"/>
        </w:rPr>
        <w:br/>
      </w:r>
      <w:r w:rsidRPr="00B51BEB">
        <w:rPr>
          <w:rFonts w:ascii="Calibri" w:hAnsi="Calibri" w:cs="Calibri"/>
        </w:rPr>
        <w:lastRenderedPageBreak/>
        <w:t>VALR (regroupement validé de manière rétroactive)</w:t>
      </w:r>
      <w:r w:rsidRPr="00B51BEB">
        <w:rPr>
          <w:rFonts w:ascii="Calibri" w:hAnsi="Calibri" w:cs="Calibri"/>
        </w:rPr>
        <w:br/>
        <w:t>NVAL (regroupement non validé)</w:t>
      </w:r>
    </w:p>
    <w:p w14:paraId="7A95F39B" w14:textId="7FABFA78" w:rsidR="00F14418" w:rsidRPr="008B64F5" w:rsidRDefault="00F14418" w:rsidP="00811D25">
      <w:pPr>
        <w:pStyle w:val="Titre2"/>
      </w:pPr>
      <w:r w:rsidRPr="008B64F5">
        <w:t>Validation du stage</w:t>
      </w:r>
      <w:r w:rsidR="008B64F5">
        <w:t xml:space="preserve"> </w:t>
      </w:r>
      <w:r w:rsidRPr="008B64F5">
        <w:t>/</w:t>
      </w:r>
      <w:r w:rsidR="008B64F5">
        <w:t xml:space="preserve"> </w:t>
      </w:r>
      <w:r w:rsidRPr="008B64F5">
        <w:t>mémoire</w:t>
      </w:r>
    </w:p>
    <w:p w14:paraId="65AF6A95" w14:textId="3AA5F1BB" w:rsidR="00F14418" w:rsidRDefault="00F14418" w:rsidP="00774222">
      <w:pPr>
        <w:pStyle w:val="Texte"/>
      </w:pPr>
      <w:r w:rsidRPr="009C760A">
        <w:t xml:space="preserve">Les stages </w:t>
      </w:r>
      <w:r w:rsidR="0052524F" w:rsidRPr="005A3884">
        <w:t>obligatoires</w:t>
      </w:r>
      <w:r w:rsidR="0052524F">
        <w:t xml:space="preserve"> </w:t>
      </w:r>
      <w:r w:rsidRPr="009C760A">
        <w:t>sont répartis selon le calendrier suivant : 8 à 12 semaines les 4 premiers semestres ; 12 à 16 semaines la dernière année. La durée et le positionnement des différentes périodes de stages en respectant les règles de répartition de 22 à 26 semaines sont fixés par chaque département</w:t>
      </w:r>
      <w:r>
        <w:t>.</w:t>
      </w:r>
    </w:p>
    <w:p w14:paraId="1598B7EA" w14:textId="0EABEC6C" w:rsidR="00F14418" w:rsidRDefault="00F14418" w:rsidP="00774222">
      <w:pPr>
        <w:pStyle w:val="Texte"/>
      </w:pPr>
      <w:r>
        <w:t>Pour les stages donnant lieu à un mémoire écrit et une soutenance orale, l</w:t>
      </w:r>
      <w:r w:rsidRPr="008C237A">
        <w:t xml:space="preserve">a note </w:t>
      </w:r>
      <w:r>
        <w:t xml:space="preserve">de stage </w:t>
      </w:r>
      <w:r w:rsidRPr="008C237A">
        <w:t>est la moyenne de trois volets : entreprise</w:t>
      </w:r>
      <w:r w:rsidR="008B64F5">
        <w:t xml:space="preserve"> </w:t>
      </w:r>
      <w:r w:rsidR="008B64F5" w:rsidRPr="00774222">
        <w:t>(note issue de l’appréciation du stage par l’entreprise)</w:t>
      </w:r>
      <w:r w:rsidRPr="00774222">
        <w:t xml:space="preserve">, </w:t>
      </w:r>
      <w:r w:rsidRPr="008C237A">
        <w:t xml:space="preserve">rapport </w:t>
      </w:r>
      <w:r w:rsidR="005D04DC" w:rsidRPr="00774222">
        <w:t xml:space="preserve">(écrit) </w:t>
      </w:r>
      <w:r w:rsidRPr="00774222">
        <w:t>et soutenance </w:t>
      </w:r>
      <w:r w:rsidR="005D04DC" w:rsidRPr="00774222">
        <w:t xml:space="preserve">(orale) </w:t>
      </w:r>
      <w:r w:rsidRPr="008C237A">
        <w:t>; l’absence de l’une des trois notes annulera la validation du stage.</w:t>
      </w:r>
      <w:r>
        <w:t xml:space="preserve"> </w:t>
      </w:r>
      <w:r w:rsidRPr="002A3BE2">
        <w:t xml:space="preserve">Le coefficient appliqué à chacune </w:t>
      </w:r>
      <w:r w:rsidR="003608FA" w:rsidRPr="00774222">
        <w:t xml:space="preserve">des notes liées à </w:t>
      </w:r>
      <w:r w:rsidRPr="00774222">
        <w:t xml:space="preserve">ces 3 </w:t>
      </w:r>
      <w:r w:rsidR="003608FA" w:rsidRPr="00774222">
        <w:t>volets</w:t>
      </w:r>
      <w:r w:rsidRPr="00774222">
        <w:t xml:space="preserve"> </w:t>
      </w:r>
      <w:r>
        <w:t>est</w:t>
      </w:r>
      <w:r w:rsidRPr="002A3BE2">
        <w:t xml:space="preserve"> précisé par chaque département et porté à la connaissance des étudiants.</w:t>
      </w:r>
    </w:p>
    <w:p w14:paraId="7499B0EA" w14:textId="511E69FA" w:rsidR="0052524F" w:rsidRPr="009C760A" w:rsidRDefault="0052524F" w:rsidP="00774222">
      <w:pPr>
        <w:pStyle w:val="Texte"/>
        <w:rPr>
          <w:lang w:eastAsia="ja-JP"/>
        </w:rPr>
      </w:pPr>
      <w:r w:rsidRPr="005A3884">
        <w:t xml:space="preserve">Le stage étant obligatoire, s’il n’est </w:t>
      </w:r>
      <w:r w:rsidR="00DD213D" w:rsidRPr="005A3884">
        <w:t xml:space="preserve">pas </w:t>
      </w:r>
      <w:r w:rsidRPr="005A3884">
        <w:t xml:space="preserve">effectué ou si la durée totale est inférieure à celle définie par le département, l’étudiant est déclaré </w:t>
      </w:r>
      <w:r w:rsidR="00A11036" w:rsidRPr="005A3884">
        <w:t>« </w:t>
      </w:r>
      <w:r w:rsidRPr="005A3884">
        <w:t xml:space="preserve">défaillant </w:t>
      </w:r>
      <w:r w:rsidR="00A11036" w:rsidRPr="005A3884">
        <w:t>au</w:t>
      </w:r>
      <w:r w:rsidRPr="005A3884">
        <w:t xml:space="preserve"> stage</w:t>
      </w:r>
      <w:r w:rsidR="00A11036" w:rsidRPr="005A3884">
        <w:t> »</w:t>
      </w:r>
      <w:r w:rsidRPr="005A3884">
        <w:t xml:space="preserve"> et le BUT ne peut lui être validé</w:t>
      </w:r>
      <w:r>
        <w:t>.</w:t>
      </w:r>
    </w:p>
    <w:p w14:paraId="1ED4410F" w14:textId="77777777" w:rsidR="00F14418" w:rsidRPr="00A52881" w:rsidRDefault="00F14418" w:rsidP="00811D25">
      <w:pPr>
        <w:pStyle w:val="Titre2"/>
      </w:pPr>
      <w:r w:rsidRPr="00A52881">
        <w:t>Validation des activités sportives et culturelles</w:t>
      </w:r>
    </w:p>
    <w:p w14:paraId="4FD0A701" w14:textId="77777777" w:rsidR="00F14418" w:rsidRPr="008C237A" w:rsidRDefault="00F14418" w:rsidP="00774222">
      <w:pPr>
        <w:pStyle w:val="Texte"/>
      </w:pPr>
      <w:r w:rsidRPr="00BD62F8">
        <w:t>Les activités sportives et culturelles considérées sont celles organisées par les services compétents de l'Université Sorbonne Paris Nord.</w:t>
      </w:r>
      <w:r>
        <w:t xml:space="preserve"> </w:t>
      </w:r>
      <w:r w:rsidRPr="00BD62F8">
        <w:t xml:space="preserve">Chaque activité donne lieu à une note (ou moyenne de notes) sur 20, par semestre, par étudiant et par activité, fournie au département par l’intervenant. </w:t>
      </w:r>
      <w:r w:rsidRPr="008C237A">
        <w:t xml:space="preserve">Les points à retenir </w:t>
      </w:r>
      <w:r>
        <w:t xml:space="preserve">sont les suivants </w:t>
      </w:r>
      <w:r w:rsidRPr="008C237A">
        <w:t>:</w:t>
      </w:r>
    </w:p>
    <w:p w14:paraId="12A3A0F1" w14:textId="77777777" w:rsidR="00F14418" w:rsidRPr="00BD62F8" w:rsidRDefault="00F14418" w:rsidP="00774222">
      <w:pPr>
        <w:pStyle w:val="Tiret"/>
      </w:pPr>
      <w:r w:rsidRPr="00BD62F8">
        <w:t>Il ne faut tenir compte que des points au-dessus de 10 sur 20 qui sont multipliés par 0.05 pour constituer le bonus de l’activité.</w:t>
      </w:r>
    </w:p>
    <w:p w14:paraId="2A61ED48" w14:textId="77777777" w:rsidR="00F14418" w:rsidRPr="00BD62F8" w:rsidRDefault="00F14418" w:rsidP="00774222">
      <w:pPr>
        <w:pStyle w:val="Tiret"/>
      </w:pPr>
      <w:r w:rsidRPr="00BD62F8">
        <w:t xml:space="preserve">Le cumul des bonus connait un plafond à 0.5. </w:t>
      </w:r>
    </w:p>
    <w:p w14:paraId="2F0F087A" w14:textId="1306FB4E" w:rsidR="00B119D3" w:rsidRPr="00774222" w:rsidRDefault="00F14418" w:rsidP="00774222">
      <w:pPr>
        <w:pStyle w:val="Texte"/>
      </w:pPr>
      <w:r w:rsidRPr="00774222">
        <w:t xml:space="preserve">Le </w:t>
      </w:r>
      <w:r w:rsidR="00B119D3" w:rsidRPr="00774222">
        <w:t>cumul des bonus est ajouté à la moyenne de l’UE du semestre concerné dont</w:t>
      </w:r>
      <w:r w:rsidR="00774222" w:rsidRPr="00774222">
        <w:t xml:space="preserve"> la moyenne est la plus petite</w:t>
      </w:r>
      <w:r w:rsidR="00B119D3" w:rsidRPr="00774222">
        <w:t>.</w:t>
      </w:r>
    </w:p>
    <w:p w14:paraId="1CD0C4F3" w14:textId="77777777" w:rsidR="000A0B56" w:rsidRPr="000A0B56" w:rsidRDefault="000A0B56" w:rsidP="00A57581">
      <w:pPr>
        <w:spacing w:after="0"/>
        <w:jc w:val="both"/>
        <w:rPr>
          <w:rFonts w:ascii="Arial" w:hAnsi="Arial" w:cs="Arial"/>
          <w:sz w:val="22"/>
          <w:szCs w:val="22"/>
          <w:lang w:eastAsia="en-US"/>
        </w:rPr>
      </w:pPr>
    </w:p>
    <w:p w14:paraId="4E7FD4AF" w14:textId="7C855D9C" w:rsidR="00067795" w:rsidRDefault="008F2357" w:rsidP="00811D25">
      <w:pPr>
        <w:pStyle w:val="Titre1"/>
      </w:pPr>
      <w:r>
        <w:t>R</w:t>
      </w:r>
      <w:r w:rsidR="00067795" w:rsidRPr="000A0B56">
        <w:t>ègles de compensation</w:t>
      </w:r>
    </w:p>
    <w:p w14:paraId="1782230B" w14:textId="77777777" w:rsidR="00202741" w:rsidRDefault="00202741" w:rsidP="00774222">
      <w:pPr>
        <w:pStyle w:val="Texte"/>
      </w:pPr>
      <w:r>
        <w:t>La compensation s’effectue au sein de chaque unité d’enseignement ainsi qu’au sein de chaque regroupement cohérent d’UE.</w:t>
      </w:r>
    </w:p>
    <w:p w14:paraId="15A8D7E7" w14:textId="76871DBB" w:rsidR="00202741" w:rsidRDefault="00202741" w:rsidP="00774222">
      <w:pPr>
        <w:pStyle w:val="Texte"/>
      </w:pPr>
      <w:r w:rsidRPr="00355C8F">
        <w:t xml:space="preserve">Au sein de chaque regroupement cohérent d’UE, la compensation est intégrale. Si une UE n’a pas été acquise en raison d’une moyenne inférieure </w:t>
      </w:r>
      <w:proofErr w:type="spellStart"/>
      <w:r w:rsidRPr="00355C8F">
        <w:t>a</w:t>
      </w:r>
      <w:proofErr w:type="spellEnd"/>
      <w:r w:rsidRPr="00355C8F">
        <w:t>̀ 10, cette UE sera acquise par compensation si et seulement si l’étudiant a obtenu la moyenne au regroupement cohérent auquel l’UE appartient.</w:t>
      </w:r>
    </w:p>
    <w:p w14:paraId="4C87B6FE" w14:textId="4B47AD10" w:rsidR="000A0B56" w:rsidRDefault="000A0B56" w:rsidP="00A57581">
      <w:pPr>
        <w:spacing w:after="0"/>
        <w:jc w:val="both"/>
        <w:rPr>
          <w:rFonts w:ascii="Arial" w:hAnsi="Arial" w:cs="Arial"/>
          <w:sz w:val="22"/>
          <w:szCs w:val="22"/>
          <w:lang w:eastAsia="en-US"/>
        </w:rPr>
      </w:pPr>
    </w:p>
    <w:p w14:paraId="534354E3" w14:textId="160D1665" w:rsidR="00202741" w:rsidRPr="00202741" w:rsidRDefault="00202741" w:rsidP="00E9048F">
      <w:pPr>
        <w:pStyle w:val="Titre1"/>
      </w:pPr>
      <w:r w:rsidRPr="00202741">
        <w:t xml:space="preserve">Règles d’assiduité et </w:t>
      </w:r>
      <w:r w:rsidR="008F2357">
        <w:t xml:space="preserve">de </w:t>
      </w:r>
      <w:r w:rsidRPr="00202741">
        <w:t>défaillance</w:t>
      </w:r>
    </w:p>
    <w:p w14:paraId="74CFC452" w14:textId="77777777" w:rsidR="00202741" w:rsidRPr="00202741" w:rsidRDefault="00202741" w:rsidP="00E9048F">
      <w:pPr>
        <w:pStyle w:val="Titre2"/>
      </w:pPr>
      <w:r w:rsidRPr="00202741">
        <w:t>Obligation d’assiduité et prise en compte du nombre d’absences</w:t>
      </w:r>
    </w:p>
    <w:p w14:paraId="61AB6EC7" w14:textId="5418BB9A" w:rsidR="00202741" w:rsidRPr="001A57FC" w:rsidRDefault="00DD213D" w:rsidP="00774222">
      <w:pPr>
        <w:pStyle w:val="Texte"/>
        <w:rPr>
          <w:lang w:eastAsia="fr-FR"/>
        </w:rPr>
      </w:pPr>
      <w:r w:rsidRPr="005A3884">
        <w:t xml:space="preserve">En vertu des principes exposés au paragraphe 4.2 de l’annexe 1 du programme national, </w:t>
      </w:r>
      <w:r w:rsidRPr="00DD213D">
        <w:t>l’</w:t>
      </w:r>
      <w:r w:rsidR="00202741" w:rsidRPr="001A57FC">
        <w:t xml:space="preserve">assiduité à toutes les activités pédagogiques organisées dans le cadre de la préparation du BUT est </w:t>
      </w:r>
      <w:r w:rsidRPr="005A3884">
        <w:t xml:space="preserve">un élément essentiel du contrat pédagogique pour la réussite de l’étudiant et elle est </w:t>
      </w:r>
      <w:r w:rsidR="00202741" w:rsidRPr="001A57FC">
        <w:t xml:space="preserve">obligatoire. Elle concerne donc </w:t>
      </w:r>
      <w:r w:rsidR="00202741" w:rsidRPr="000C3768">
        <w:t>l'ensemble des activités d'enseignement</w:t>
      </w:r>
      <w:r w:rsidR="00202741" w:rsidRPr="001A57FC">
        <w:t xml:space="preserve"> (cours, travaux dirigés, travaux pratiques, ateliers, contrôle des connaissances, conférences à caractère obligatoire, stages, visites...) et </w:t>
      </w:r>
      <w:r w:rsidR="00202741" w:rsidRPr="000C3768">
        <w:t xml:space="preserve">toutes </w:t>
      </w:r>
      <w:r w:rsidR="00202741" w:rsidRPr="000C3768">
        <w:lastRenderedPageBreak/>
        <w:t>les épreuves du contrôle continu</w:t>
      </w:r>
      <w:r w:rsidR="00202741" w:rsidRPr="001A57FC">
        <w:t xml:space="preserve">. </w:t>
      </w:r>
      <w:r w:rsidR="00202741" w:rsidRPr="001A57FC">
        <w:rPr>
          <w:lang w:eastAsia="fr-FR"/>
        </w:rPr>
        <w:t xml:space="preserve">La présence est obligatoire jusqu'à la date fixée </w:t>
      </w:r>
      <w:r w:rsidR="003608FA" w:rsidRPr="00774222">
        <w:rPr>
          <w:lang w:eastAsia="fr-FR"/>
        </w:rPr>
        <w:t>pour la</w:t>
      </w:r>
      <w:r w:rsidR="00202741" w:rsidRPr="00774222">
        <w:rPr>
          <w:lang w:eastAsia="fr-FR"/>
        </w:rPr>
        <w:t xml:space="preserve"> fin </w:t>
      </w:r>
      <w:r w:rsidR="00202741" w:rsidRPr="001A57FC">
        <w:rPr>
          <w:lang w:eastAsia="fr-FR"/>
        </w:rPr>
        <w:t>d'année universitaire et indiquée sur le calendrier de chaque département.</w:t>
      </w:r>
    </w:p>
    <w:p w14:paraId="08C5C534" w14:textId="0F2DAE99" w:rsidR="00202741" w:rsidRPr="001A57FC" w:rsidRDefault="00202741" w:rsidP="00774222">
      <w:pPr>
        <w:pStyle w:val="Texte"/>
      </w:pPr>
      <w:r w:rsidRPr="001A57FC">
        <w:t>Pour les boursiers, elle conditionne le versement de leur bourse (décret 51-445 du 16 avril 1951). Le cas des étudiant</w:t>
      </w:r>
      <w:r w:rsidR="00E703F2">
        <w:t>s</w:t>
      </w:r>
      <w:r w:rsidRPr="001A57FC">
        <w:t xml:space="preserve"> qui ont un mandat syndical </w:t>
      </w:r>
      <w:r w:rsidRPr="005A3884">
        <w:t xml:space="preserve">ou électif </w:t>
      </w:r>
      <w:r w:rsidR="002F7DFD" w:rsidRPr="005A3884">
        <w:t xml:space="preserve">(ou les deux) </w:t>
      </w:r>
      <w:r w:rsidRPr="001A57FC">
        <w:t xml:space="preserve">sera pris en considération </w:t>
      </w:r>
      <w:r w:rsidRPr="001A57FC">
        <w:rPr>
          <w:i/>
        </w:rPr>
        <w:t>a priori</w:t>
      </w:r>
      <w:r w:rsidRPr="001A57FC">
        <w:t xml:space="preserve"> mais non </w:t>
      </w:r>
      <w:r w:rsidRPr="001A57FC">
        <w:rPr>
          <w:i/>
        </w:rPr>
        <w:t>a posteriori</w:t>
      </w:r>
      <w:r w:rsidRPr="001A57FC">
        <w:t>.</w:t>
      </w:r>
    </w:p>
    <w:p w14:paraId="262B0780" w14:textId="668FD914" w:rsidR="00202741" w:rsidRPr="001A57FC" w:rsidRDefault="00202741" w:rsidP="00774222">
      <w:pPr>
        <w:pStyle w:val="Texte"/>
      </w:pPr>
      <w:r w:rsidRPr="001A57FC">
        <w:t xml:space="preserve">Le contrôle des absences est placé sous la responsabilité de chaque enseignant. Les feuilles de présence doivent être obligatoirement signées par chaque étudiant et par chaque enseignant pour chaque séance. </w:t>
      </w:r>
      <w:r w:rsidRPr="000C3768">
        <w:t xml:space="preserve">Elles doivent être remises aux secrétariats des départements </w:t>
      </w:r>
      <w:r w:rsidRPr="005A3884">
        <w:t xml:space="preserve">ou directeurs </w:t>
      </w:r>
      <w:r w:rsidRPr="000C3768">
        <w:t>des études par les enseignants dès la fin de la séance</w:t>
      </w:r>
      <w:r w:rsidRPr="001A57FC">
        <w:t>.</w:t>
      </w:r>
    </w:p>
    <w:p w14:paraId="5BCB8866" w14:textId="0B3761E9" w:rsidR="00202741" w:rsidRPr="008C237A" w:rsidRDefault="00202741" w:rsidP="00774222">
      <w:pPr>
        <w:pStyle w:val="Texte"/>
      </w:pPr>
      <w:r w:rsidRPr="001A57FC">
        <w:t xml:space="preserve">L’exclusion d’un étudiant par un enseignant lors d’une activité d’enseignement devra être indiquée sur la feuille de présence. Elle </w:t>
      </w:r>
      <w:r w:rsidR="00DD213D" w:rsidRPr="005A3884">
        <w:t xml:space="preserve">ne </w:t>
      </w:r>
      <w:r w:rsidRPr="005A3884">
        <w:t xml:space="preserve">correspond </w:t>
      </w:r>
      <w:r w:rsidR="00DD213D" w:rsidRPr="005A3884">
        <w:t xml:space="preserve">pas </w:t>
      </w:r>
      <w:r w:rsidRPr="001A57FC">
        <w:t>à une absence</w:t>
      </w:r>
      <w:r w:rsidRPr="00F11290">
        <w:t>.</w:t>
      </w:r>
    </w:p>
    <w:p w14:paraId="2A3C9529" w14:textId="09DA0A8B" w:rsidR="00202741" w:rsidRPr="001A57FC" w:rsidRDefault="00202741" w:rsidP="00774222">
      <w:pPr>
        <w:pStyle w:val="Texte"/>
      </w:pPr>
      <w:r w:rsidRPr="001A57FC">
        <w:t xml:space="preserve">Toute absence doit être justifiée auprès de la direction des études </w:t>
      </w:r>
      <w:r w:rsidRPr="005A3884">
        <w:t>ou du secrétariat du département dans les deux jours ouvrés à partir du premier jour d’absence en cours</w:t>
      </w:r>
      <w:r w:rsidR="00DD213D" w:rsidRPr="005A3884">
        <w:t xml:space="preserve"> (sauf empêchement avéré)</w:t>
      </w:r>
      <w:r w:rsidRPr="005A3884">
        <w:t xml:space="preserve">. </w:t>
      </w:r>
      <w:r w:rsidRPr="001A57FC">
        <w:t xml:space="preserve">A défaut de justificatif d’absence recevable, fourni dans les délais, l’absence sera considérée comme </w:t>
      </w:r>
      <w:r w:rsidRPr="000C3768">
        <w:t>non justifiée</w:t>
      </w:r>
      <w:r w:rsidRPr="001A57FC">
        <w:t>.</w:t>
      </w:r>
    </w:p>
    <w:p w14:paraId="71331325" w14:textId="77777777" w:rsidR="00202741" w:rsidRPr="001A57FC" w:rsidRDefault="00202741" w:rsidP="00774222">
      <w:pPr>
        <w:pStyle w:val="Texte"/>
      </w:pPr>
      <w:r w:rsidRPr="001A57FC">
        <w:t>Seuls sont recevables les justificatifs suivants :</w:t>
      </w:r>
    </w:p>
    <w:p w14:paraId="4F7256B2" w14:textId="77777777" w:rsidR="00202741" w:rsidRPr="001A57FC" w:rsidRDefault="00202741" w:rsidP="00774222">
      <w:pPr>
        <w:pStyle w:val="Tiret"/>
      </w:pPr>
      <w:r w:rsidRPr="001A57FC">
        <w:t>Certificat médical daté et tamponné (maladie et accident de l’étudiant ou de ses enfants</w:t>
      </w:r>
      <w:r>
        <w:t xml:space="preserve"> </w:t>
      </w:r>
      <w:r w:rsidRPr="00521830">
        <w:t>empêchant la présence en cours</w:t>
      </w:r>
      <w:r>
        <w:t xml:space="preserve">). </w:t>
      </w:r>
      <w:r w:rsidRPr="00521830">
        <w:t>Toute attestation justifiant la présence à un rendez-vous médical en dehors du cas cité ne saurait être considérée comme un justificatif recevable,</w:t>
      </w:r>
    </w:p>
    <w:p w14:paraId="7074C600" w14:textId="77777777" w:rsidR="00202741" w:rsidRPr="001A57FC" w:rsidRDefault="00202741" w:rsidP="00774222">
      <w:pPr>
        <w:pStyle w:val="Tiret"/>
      </w:pPr>
      <w:r w:rsidRPr="001A57FC">
        <w:t xml:space="preserve">Acte officiel (mariage de l’étudiant, naissance de son enfant, décès d’un parent proche : conjoint, enfant, parents, grands-parents, frères et sœurs), </w:t>
      </w:r>
    </w:p>
    <w:p w14:paraId="4ADCD7F3" w14:textId="77777777" w:rsidR="00202741" w:rsidRPr="001A57FC" w:rsidRDefault="00202741" w:rsidP="00774222">
      <w:pPr>
        <w:pStyle w:val="Tiret"/>
      </w:pPr>
      <w:r w:rsidRPr="001A57FC">
        <w:t xml:space="preserve">Convocation nominative </w:t>
      </w:r>
      <w:r w:rsidRPr="000C3768">
        <w:t>officielle</w:t>
      </w:r>
      <w:r w:rsidRPr="001A57FC">
        <w:t xml:space="preserve"> (permis de conduire, tribunal, services administratifs publics, commissariats, ambassades et consulats).</w:t>
      </w:r>
    </w:p>
    <w:p w14:paraId="15555920" w14:textId="77777777" w:rsidR="00202741" w:rsidRPr="001A57FC" w:rsidRDefault="00202741" w:rsidP="00774222">
      <w:pPr>
        <w:pStyle w:val="Texte"/>
      </w:pPr>
      <w:r w:rsidRPr="001A57FC">
        <w:t>Seuls les documents originaux (datés, signés, avec cachet et ne comportant aucune rature) seront acceptés. La production d’un faux justificatif constitue un délit (article 441-1 du code pénal) qui expose son auteur à des sanctions pénales et disciplinaires.</w:t>
      </w:r>
    </w:p>
    <w:p w14:paraId="0648DDEC" w14:textId="77777777" w:rsidR="00202741" w:rsidRPr="001A57FC" w:rsidRDefault="00202741" w:rsidP="00774222">
      <w:pPr>
        <w:pStyle w:val="Texte"/>
      </w:pPr>
      <w:r w:rsidRPr="001A57FC">
        <w:t>Tout manquement au contrôle continu non justifié sera sanctionné par la note zéro, quel que soit le motif. A charge de l’étudiant d’engager une procédure de justification conformément aux modalités ci-dessus rappelées.</w:t>
      </w:r>
    </w:p>
    <w:p w14:paraId="34764A2D" w14:textId="66B3EC5A" w:rsidR="00202741" w:rsidRPr="001A57FC" w:rsidRDefault="00202741" w:rsidP="00774222">
      <w:pPr>
        <w:pStyle w:val="Texte"/>
      </w:pPr>
      <w:r w:rsidRPr="001A57FC">
        <w:t xml:space="preserve">Toute absence justifiée à un devoir surveillé donne droit à </w:t>
      </w:r>
      <w:r w:rsidR="00DD213D" w:rsidRPr="005A3884">
        <w:t xml:space="preserve">un devoir </w:t>
      </w:r>
      <w:r w:rsidR="00E703F2" w:rsidRPr="00774222">
        <w:t>de substitution</w:t>
      </w:r>
      <w:r w:rsidRPr="00774222">
        <w:t xml:space="preserve"> </w:t>
      </w:r>
      <w:r w:rsidRPr="001A57FC">
        <w:t>pour l’étudiant</w:t>
      </w:r>
      <w:r w:rsidR="00E703F2">
        <w:t xml:space="preserve"> concerné</w:t>
      </w:r>
      <w:r w:rsidRPr="001A57FC">
        <w:t xml:space="preserve">. </w:t>
      </w:r>
      <w:r w:rsidRPr="00774222">
        <w:t xml:space="preserve">L’absence </w:t>
      </w:r>
      <w:r w:rsidR="00E703F2" w:rsidRPr="00774222">
        <w:t>à l’épreuve de substitution</w:t>
      </w:r>
      <w:r w:rsidRPr="00774222">
        <w:t xml:space="preserve"> </w:t>
      </w:r>
      <w:r w:rsidRPr="001A57FC">
        <w:t xml:space="preserve">d’un devoir surveillé, que cette absence soit justifiée ou pas, entraîne automatiquement la note de zéro. Les travaux pratiques ne sont pas </w:t>
      </w:r>
      <w:r w:rsidR="002D23DC" w:rsidRPr="00774222">
        <w:t>substitu</w:t>
      </w:r>
      <w:r w:rsidRPr="00774222">
        <w:t>ables</w:t>
      </w:r>
      <w:r w:rsidRPr="001A57FC">
        <w:t>, quel que soit le motif.</w:t>
      </w:r>
    </w:p>
    <w:p w14:paraId="390876F7" w14:textId="77777777" w:rsidR="00202741" w:rsidRPr="001A57FC" w:rsidRDefault="00202741" w:rsidP="00774222">
      <w:pPr>
        <w:pStyle w:val="Texte"/>
        <w:rPr>
          <w:b/>
        </w:rPr>
      </w:pPr>
      <w:r w:rsidRPr="001A57FC">
        <w:t xml:space="preserve">L’assiduité faisant partie des modalités pédagogiques intégrées dans le cadre du contrôle continu du BUT, les étudiants ayant des absences non justifiées verront la note de l’activité pédagogique correspondante minorée selon le nombre total des absences. La pondération appliquée sera la suivante : </w:t>
      </w:r>
    </w:p>
    <w:p w14:paraId="14C8BAAC" w14:textId="77777777" w:rsidR="00202741" w:rsidRDefault="00F67372" w:rsidP="00202741">
      <w:pPr>
        <w:tabs>
          <w:tab w:val="left" w:pos="0"/>
          <w:tab w:val="left" w:pos="669"/>
          <w:tab w:val="left" w:pos="686"/>
        </w:tabs>
        <w:spacing w:before="200" w:line="276" w:lineRule="auto"/>
        <w:jc w:val="center"/>
        <w:rPr>
          <w:b/>
          <w:color w:val="000000" w:themeColor="text1"/>
        </w:rPr>
      </w:pPr>
      <m:oMath>
        <m:sSub>
          <m:sSubPr>
            <m:ctrlPr>
              <w:rPr>
                <w:rFonts w:ascii="Cambria Math" w:hAnsi="Cambria Math" w:cstheme="majorHAnsi"/>
                <w:b/>
                <w:i/>
                <w:color w:val="000000" w:themeColor="text1"/>
              </w:rPr>
            </m:ctrlPr>
          </m:sSubPr>
          <m:e>
            <m:r>
              <m:rPr>
                <m:sty m:val="bi"/>
              </m:rPr>
              <w:rPr>
                <w:rFonts w:ascii="Cambria Math" w:hAnsi="Cambria Math" w:cstheme="majorHAnsi"/>
                <w:color w:val="000000" w:themeColor="text1"/>
              </w:rPr>
              <m:t>( Note activité )</m:t>
            </m:r>
          </m:e>
          <m:sub>
            <m:r>
              <m:rPr>
                <m:sty m:val="bi"/>
              </m:rPr>
              <w:rPr>
                <w:rFonts w:ascii="Cambria Math" w:hAnsi="Cambria Math" w:cstheme="majorHAnsi"/>
                <w:color w:val="000000" w:themeColor="text1"/>
              </w:rPr>
              <m:t>pondérée</m:t>
            </m:r>
          </m:sub>
        </m:sSub>
        <m:r>
          <m:rPr>
            <m:sty m:val="bi"/>
          </m:rPr>
          <w:rPr>
            <w:rFonts w:ascii="Cambria Math" w:hAnsi="Cambria Math" w:cstheme="majorHAnsi"/>
            <w:color w:val="000000" w:themeColor="text1"/>
          </w:rPr>
          <m:t xml:space="preserve"> </m:t>
        </m:r>
      </m:oMath>
      <w:r w:rsidR="00202741" w:rsidRPr="001A57FC">
        <w:rPr>
          <w:rFonts w:asciiTheme="majorHAnsi" w:hAnsiTheme="majorHAnsi" w:cstheme="majorHAnsi"/>
          <w:b/>
          <w:color w:val="000000" w:themeColor="text1"/>
        </w:rPr>
        <w:t>=</w:t>
      </w:r>
      <w:r w:rsidR="00202741" w:rsidRPr="001A57FC">
        <w:rPr>
          <w:b/>
          <w:color w:val="000000" w:themeColor="text1"/>
        </w:rPr>
        <w:t xml:space="preserve"> </w:t>
      </w:r>
      <w:r w:rsidR="00202741" w:rsidRPr="001A57FC">
        <w:rPr>
          <w:rFonts w:asciiTheme="majorHAnsi" w:hAnsiTheme="majorHAnsi" w:cstheme="majorHAnsi"/>
          <w:b/>
          <w:color w:val="000000" w:themeColor="text1"/>
        </w:rPr>
        <w:t>Note x (1 -</w:t>
      </w:r>
      <w:r w:rsidR="00202741" w:rsidRPr="001A57FC">
        <w:rPr>
          <w:b/>
          <w:color w:val="000000" w:themeColor="text1"/>
        </w:rPr>
        <w:t xml:space="preserve"> </w:t>
      </w:r>
      <m:oMath>
        <m:f>
          <m:fPr>
            <m:ctrlPr>
              <w:rPr>
                <w:rFonts w:ascii="Cambria Math" w:hAnsi="Cambria Math" w:cstheme="majorHAnsi"/>
                <w:b/>
                <w:i/>
                <w:color w:val="000000" w:themeColor="text1"/>
              </w:rPr>
            </m:ctrlPr>
          </m:fPr>
          <m:num>
            <m:r>
              <m:rPr>
                <m:sty m:val="bi"/>
              </m:rPr>
              <w:rPr>
                <w:rFonts w:ascii="Cambria Math" w:hAnsi="Cambria Math" w:cstheme="majorHAnsi"/>
                <w:color w:val="000000" w:themeColor="text1"/>
              </w:rPr>
              <m:t xml:space="preserve">Nombre </m:t>
            </m:r>
            <m:sSup>
              <m:sSupPr>
                <m:ctrlPr>
                  <w:rPr>
                    <w:rFonts w:ascii="Cambria Math" w:hAnsi="Cambria Math" w:cstheme="majorHAnsi"/>
                    <w:b/>
                    <w:i/>
                    <w:color w:val="000000" w:themeColor="text1"/>
                  </w:rPr>
                </m:ctrlPr>
              </m:sSupPr>
              <m:e>
                <m:r>
                  <m:rPr>
                    <m:sty m:val="bi"/>
                  </m:rPr>
                  <w:rPr>
                    <w:rFonts w:ascii="Cambria Math" w:hAnsi="Cambria Math" w:cstheme="majorHAnsi"/>
                    <w:color w:val="000000" w:themeColor="text1"/>
                  </w:rPr>
                  <m:t>d</m:t>
                </m:r>
              </m:e>
              <m:sup>
                <m:r>
                  <m:rPr>
                    <m:sty m:val="bi"/>
                  </m:rPr>
                  <w:rPr>
                    <w:rFonts w:ascii="Cambria Math" w:hAnsi="Cambria Math" w:cstheme="majorHAnsi"/>
                    <w:color w:val="000000" w:themeColor="text1"/>
                  </w:rPr>
                  <m:t>'</m:t>
                </m:r>
              </m:sup>
            </m:sSup>
            <m:r>
              <m:rPr>
                <m:sty m:val="bi"/>
              </m:rPr>
              <w:rPr>
                <w:rFonts w:ascii="Cambria Math" w:hAnsi="Cambria Math" w:cstheme="majorHAnsi"/>
                <w:color w:val="000000" w:themeColor="text1"/>
              </w:rPr>
              <m:t xml:space="preserve">heures </m:t>
            </m:r>
            <m:sSup>
              <m:sSupPr>
                <m:ctrlPr>
                  <w:rPr>
                    <w:rFonts w:ascii="Cambria Math" w:hAnsi="Cambria Math" w:cstheme="majorHAnsi"/>
                    <w:b/>
                    <w:i/>
                    <w:color w:val="000000" w:themeColor="text1"/>
                  </w:rPr>
                </m:ctrlPr>
              </m:sSupPr>
              <m:e>
                <m:r>
                  <m:rPr>
                    <m:sty m:val="bi"/>
                  </m:rPr>
                  <w:rPr>
                    <w:rFonts w:ascii="Cambria Math" w:hAnsi="Cambria Math" w:cstheme="majorHAnsi"/>
                    <w:color w:val="000000" w:themeColor="text1"/>
                  </w:rPr>
                  <m:t>d</m:t>
                </m:r>
              </m:e>
              <m:sup>
                <m:r>
                  <m:rPr>
                    <m:sty m:val="bi"/>
                  </m:rPr>
                  <w:rPr>
                    <w:rFonts w:ascii="Cambria Math" w:hAnsi="Cambria Math" w:cstheme="majorHAnsi"/>
                    <w:color w:val="000000" w:themeColor="text1"/>
                  </w:rPr>
                  <m:t>'</m:t>
                </m:r>
              </m:sup>
            </m:sSup>
            <m:r>
              <m:rPr>
                <m:sty m:val="bi"/>
              </m:rPr>
              <w:rPr>
                <w:rFonts w:ascii="Cambria Math" w:hAnsi="Cambria Math" w:cstheme="majorHAnsi"/>
                <w:color w:val="000000" w:themeColor="text1"/>
              </w:rPr>
              <m:t>absences non justifiées</m:t>
            </m:r>
          </m:num>
          <m:den>
            <m:r>
              <m:rPr>
                <m:sty m:val="bi"/>
              </m:rPr>
              <w:rPr>
                <w:rFonts w:ascii="Cambria Math" w:hAnsi="Cambria Math" w:cstheme="majorHAnsi"/>
                <w:color w:val="000000" w:themeColor="text1"/>
              </w:rPr>
              <m:t xml:space="preserve">Nombre total </m:t>
            </m:r>
            <m:sSup>
              <m:sSupPr>
                <m:ctrlPr>
                  <w:rPr>
                    <w:rFonts w:ascii="Cambria Math" w:hAnsi="Cambria Math" w:cstheme="majorHAnsi"/>
                    <w:b/>
                    <w:i/>
                    <w:color w:val="000000" w:themeColor="text1"/>
                  </w:rPr>
                </m:ctrlPr>
              </m:sSupPr>
              <m:e>
                <m:r>
                  <m:rPr>
                    <m:sty m:val="bi"/>
                  </m:rPr>
                  <w:rPr>
                    <w:rFonts w:ascii="Cambria Math" w:hAnsi="Cambria Math" w:cstheme="majorHAnsi"/>
                    <w:color w:val="000000" w:themeColor="text1"/>
                  </w:rPr>
                  <m:t>d</m:t>
                </m:r>
              </m:e>
              <m:sup>
                <m:r>
                  <m:rPr>
                    <m:sty m:val="bi"/>
                  </m:rPr>
                  <w:rPr>
                    <w:rFonts w:ascii="Cambria Math" w:hAnsi="Cambria Math" w:cstheme="majorHAnsi"/>
                    <w:color w:val="000000" w:themeColor="text1"/>
                  </w:rPr>
                  <m:t>'</m:t>
                </m:r>
              </m:sup>
            </m:sSup>
            <m:r>
              <m:rPr>
                <m:sty m:val="bi"/>
              </m:rPr>
              <w:rPr>
                <w:rFonts w:ascii="Cambria Math" w:hAnsi="Cambria Math" w:cstheme="majorHAnsi"/>
                <w:color w:val="000000" w:themeColor="text1"/>
              </w:rPr>
              <m:t>heures de l'activité</m:t>
            </m:r>
          </m:den>
        </m:f>
      </m:oMath>
      <w:r w:rsidR="00202741" w:rsidRPr="001A57FC">
        <w:rPr>
          <w:b/>
          <w:color w:val="000000" w:themeColor="text1"/>
        </w:rPr>
        <w:t xml:space="preserve"> )</w:t>
      </w:r>
    </w:p>
    <w:p w14:paraId="73AE2343" w14:textId="174A140F" w:rsidR="00202741" w:rsidRDefault="00202741" w:rsidP="00774222">
      <w:pPr>
        <w:pStyle w:val="Texte"/>
      </w:pPr>
      <w:r w:rsidRPr="00AB77C5">
        <w:t>Les heures correspondant aux évaluations (devoirs surveillés, interrogations écrites ou orales, …) sont prises en compte dans la pondération.</w:t>
      </w:r>
    </w:p>
    <w:p w14:paraId="60C070ED" w14:textId="2DE133AC" w:rsidR="005A3884" w:rsidRPr="005A3884" w:rsidRDefault="005A3884" w:rsidP="005A3884">
      <w:pPr>
        <w:pStyle w:val="Texte"/>
      </w:pPr>
      <w:r w:rsidRPr="005A3884">
        <w:lastRenderedPageBreak/>
        <w:t>Les étudiants relevant du régime spécial d’études comme, à titre d’exemples non limitatifs : aidants, salariés, en situation de handicap, sportifs de haut niveau, assumant des responsabilités particulières dans la vie universitaire, la vie étudiante ou associative, les sportifs de haut niveau …, peuvent demander la mise en place de l’aménagement des études au titre de ce régime. Les modalités d’éligibilité et de demandes sont en ligne sur le site de l’université dans la rubrique formation (</w:t>
      </w:r>
      <w:hyperlink r:id="rId8" w:history="1">
        <w:r w:rsidRPr="009E3E0C">
          <w:rPr>
            <w:rStyle w:val="Lienhypertexte"/>
          </w:rPr>
          <w:t>https://www.univ-spn.fr/amenagement-des-etudes/</w:t>
        </w:r>
      </w:hyperlink>
      <w:r w:rsidRPr="005A3884">
        <w:t>).</w:t>
      </w:r>
    </w:p>
    <w:p w14:paraId="0FF03847" w14:textId="2588DF29" w:rsidR="00DD213D" w:rsidRDefault="005A3884" w:rsidP="005A3884">
      <w:pPr>
        <w:pStyle w:val="Texte"/>
      </w:pPr>
      <w:r w:rsidRPr="005A3884">
        <w:t>Les demandes doivent être faites en début de semestre ou lors de l’année universitaire lorsque la situation personnelle de l’étudiant évolue dans l’année. Il convient de compléter le formulaire de demande. Chaque demande fera l’objet d’un</w:t>
      </w:r>
      <w:r w:rsidRPr="005A3884">
        <w:t xml:space="preserve"> examen et d’une réponse écrite</w:t>
      </w:r>
      <w:r w:rsidR="00DD213D" w:rsidRPr="00A45161">
        <w:t>.</w:t>
      </w:r>
    </w:p>
    <w:p w14:paraId="7A8BA5D1" w14:textId="77777777" w:rsidR="00202741" w:rsidRDefault="00202741" w:rsidP="00507D02">
      <w:pPr>
        <w:pStyle w:val="Titre2"/>
      </w:pPr>
      <w:r>
        <w:t>Règles en cas de défaillance</w:t>
      </w:r>
    </w:p>
    <w:p w14:paraId="5A653318" w14:textId="7498EE53" w:rsidR="00202741" w:rsidRPr="001A57FC" w:rsidRDefault="005F66D5" w:rsidP="00774222">
      <w:pPr>
        <w:pStyle w:val="Texte"/>
        <w:rPr>
          <w:b/>
          <w:color w:val="1F497D" w:themeColor="text2"/>
        </w:rPr>
      </w:pPr>
      <w:r>
        <w:t>Lorsqu’un étudiant est absent</w:t>
      </w:r>
      <w:r w:rsidR="00202741" w:rsidRPr="001A57FC">
        <w:t xml:space="preserve"> </w:t>
      </w:r>
      <w:r w:rsidR="00202741" w:rsidRPr="00774222">
        <w:t>à l’ensemble des évaluations d’un semestre</w:t>
      </w:r>
      <w:r w:rsidR="00202741" w:rsidRPr="001A57FC">
        <w:t xml:space="preserve">, y compris les </w:t>
      </w:r>
      <w:r w:rsidRPr="00774222">
        <w:t>évaluations de substitution</w:t>
      </w:r>
      <w:r w:rsidR="00202741" w:rsidRPr="001A57FC">
        <w:t xml:space="preserve">, et quelle qu’en soit la raison, </w:t>
      </w:r>
      <w:r w:rsidRPr="00774222">
        <w:t>il sera déclaré défaillant</w:t>
      </w:r>
      <w:r w:rsidR="00202741" w:rsidRPr="00774222">
        <w:t xml:space="preserve"> par le jury</w:t>
      </w:r>
      <w:r w:rsidR="00202741" w:rsidRPr="001A57FC">
        <w:t xml:space="preserve">, ce qui entraîne la non-validation </w:t>
      </w:r>
      <w:r w:rsidR="00202741" w:rsidRPr="00774222">
        <w:t>de toutes les UE dudit semestre</w:t>
      </w:r>
      <w:r>
        <w:t>. Le bulletin de l’étudiant concerné</w:t>
      </w:r>
      <w:r w:rsidR="00202741" w:rsidRPr="001A57FC">
        <w:t xml:space="preserve"> affichera</w:t>
      </w:r>
      <w:r w:rsidR="00202741">
        <w:t xml:space="preserve"> alors « DEF » pour défaillant.</w:t>
      </w:r>
    </w:p>
    <w:p w14:paraId="5BEA185D" w14:textId="77777777" w:rsidR="005F66D5" w:rsidRPr="00BE16FE" w:rsidRDefault="005F66D5" w:rsidP="005F66D5">
      <w:pPr>
        <w:pStyle w:val="Titre1"/>
        <w:spacing w:before="480"/>
        <w:ind w:left="426" w:hanging="426"/>
      </w:pPr>
      <w:r>
        <w:t>R</w:t>
      </w:r>
      <w:r w:rsidRPr="00BE16FE">
        <w:t xml:space="preserve">ègles de </w:t>
      </w:r>
      <w:r>
        <w:t>progression et de poursuite des études dans le cursus du BUT</w:t>
      </w:r>
    </w:p>
    <w:p w14:paraId="3EB59C99" w14:textId="77777777" w:rsidR="005F66D5" w:rsidRDefault="005F66D5" w:rsidP="005F66D5">
      <w:pPr>
        <w:pStyle w:val="Titre2"/>
        <w:ind w:left="792" w:hanging="432"/>
      </w:pPr>
      <w:r>
        <w:t>Règle de progression</w:t>
      </w:r>
    </w:p>
    <w:p w14:paraId="58457A3D" w14:textId="77777777" w:rsidR="005F66D5" w:rsidRPr="004C3958" w:rsidRDefault="005F66D5" w:rsidP="00774222">
      <w:pPr>
        <w:pStyle w:val="Texte"/>
      </w:pPr>
      <w:r w:rsidRPr="004C3958">
        <w:t>La poursuite d'études dans un semestre pair d’une même année est de droit pour tout étudiant. La poursuite d’études dans un semestre impair est possible si et seulement si l’étudiant a obtenu :</w:t>
      </w:r>
    </w:p>
    <w:p w14:paraId="7C6F5C22" w14:textId="77777777" w:rsidR="005F66D5" w:rsidRPr="004C3958" w:rsidRDefault="005F66D5" w:rsidP="00774222">
      <w:pPr>
        <w:pStyle w:val="Tiret"/>
      </w:pPr>
      <w:r w:rsidRPr="004C3958">
        <w:t>La moyenne à plus de la moitié des regroupements cohérents d’UE ;</w:t>
      </w:r>
    </w:p>
    <w:p w14:paraId="572E8CB8" w14:textId="77777777" w:rsidR="005F66D5" w:rsidRPr="004C3958" w:rsidRDefault="005F66D5" w:rsidP="00774222">
      <w:pPr>
        <w:pStyle w:val="Tiret"/>
      </w:pPr>
      <w:r w:rsidRPr="004C3958">
        <w:t xml:space="preserve">Et une moyenne égale ou supérieure </w:t>
      </w:r>
      <w:proofErr w:type="spellStart"/>
      <w:r w:rsidRPr="004C3958">
        <w:t>a</w:t>
      </w:r>
      <w:proofErr w:type="spellEnd"/>
      <w:r w:rsidRPr="004C3958">
        <w:t>̀ 8 sur 20 à chaque regroupement cohérent d’UE.</w:t>
      </w:r>
    </w:p>
    <w:p w14:paraId="2FD95F2A" w14:textId="1DBC5D74" w:rsidR="005F66D5" w:rsidRDefault="005F66D5" w:rsidP="00774222">
      <w:pPr>
        <w:pStyle w:val="Texte"/>
      </w:pPr>
      <w:r w:rsidRPr="004C3958">
        <w:t xml:space="preserve">La poursuite d'études dans le semestre 5 nécessite de plus la validation de toutes les UE des semestres 1 et 2 dans les conditions de validation </w:t>
      </w:r>
      <w:r>
        <w:t xml:space="preserve">définies aux points 3. </w:t>
      </w:r>
      <w:proofErr w:type="gramStart"/>
      <w:r w:rsidR="002916EF">
        <w:t>e</w:t>
      </w:r>
      <w:r>
        <w:t>t</w:t>
      </w:r>
      <w:proofErr w:type="gramEnd"/>
      <w:r>
        <w:t xml:space="preserve"> 4.</w:t>
      </w:r>
      <w:r w:rsidRPr="004C3958">
        <w:t>, ou par décision de jury.</w:t>
      </w:r>
    </w:p>
    <w:p w14:paraId="41248C73" w14:textId="77777777" w:rsidR="005F66D5" w:rsidRPr="00F471AA" w:rsidRDefault="005F66D5" w:rsidP="005F66D5">
      <w:pPr>
        <w:spacing w:before="100" w:after="0"/>
        <w:rPr>
          <w:rFonts w:ascii="Calibri" w:hAnsi="Calibri" w:cs="Calibri"/>
        </w:rPr>
      </w:pPr>
      <w:r w:rsidRPr="00F471AA">
        <w:rPr>
          <w:rFonts w:ascii="Calibri" w:hAnsi="Calibri" w:cs="Calibri"/>
        </w:rPr>
        <w:t>Les codes utilisés pour indiquer la progression des étudiants sont les suivants :</w:t>
      </w:r>
    </w:p>
    <w:p w14:paraId="322CE87A" w14:textId="77777777" w:rsidR="005F66D5" w:rsidRDefault="005F66D5" w:rsidP="005F66D5">
      <w:pPr>
        <w:spacing w:before="100" w:after="0"/>
        <w:rPr>
          <w:rFonts w:ascii="Calibri" w:hAnsi="Calibri" w:cs="Calibri"/>
          <w:color w:val="FF0000"/>
        </w:rPr>
      </w:pPr>
      <w:r w:rsidRPr="00F471AA">
        <w:rPr>
          <w:rFonts w:ascii="Calibri" w:hAnsi="Calibri" w:cs="Calibri"/>
        </w:rPr>
        <w:t>ADM (admis pour le niveau ou niveau validé)</w:t>
      </w:r>
      <w:r w:rsidRPr="00F471AA">
        <w:rPr>
          <w:rFonts w:ascii="Calibri" w:hAnsi="Calibri" w:cs="Calibri"/>
        </w:rPr>
        <w:br/>
        <w:t>AJAC (ajourné et admis pour continuer dans le niveau supérieur)</w:t>
      </w:r>
    </w:p>
    <w:p w14:paraId="7FDF5BD8" w14:textId="77777777" w:rsidR="005F66D5" w:rsidRDefault="005F66D5" w:rsidP="005F66D5">
      <w:pPr>
        <w:pStyle w:val="Titre2"/>
        <w:ind w:left="792" w:hanging="432"/>
      </w:pPr>
      <w:r>
        <w:t>Règle de redoublement</w:t>
      </w:r>
    </w:p>
    <w:p w14:paraId="36D37145" w14:textId="77777777" w:rsidR="005F66D5" w:rsidRDefault="005F66D5" w:rsidP="00774222">
      <w:pPr>
        <w:pStyle w:val="Texte"/>
      </w:pPr>
      <w:r>
        <w:t xml:space="preserve">Le redoublement n’est accordé que sur la décision du jury. </w:t>
      </w:r>
      <w:r w:rsidRPr="003B10D7">
        <w:t xml:space="preserve">Durant la totalité du cursus conduisant au BUT, l'étudiant peut être autorisé à redoubler une seule fois chaque semestre dans la limite de 4 redoublements. Le directeur de l'IUT peut autoriser un redoublement supplémentaire en cas de force majeure dûment justifiée et appréciée par ses soins. Tout refus d'autorisation de redoubler est pris après avoir entendu l'étudiant à sa demande. </w:t>
      </w:r>
      <w:r w:rsidRPr="00A3177C">
        <w:t>Il doit être motivé et assorti de conseils d'orientation.</w:t>
      </w:r>
    </w:p>
    <w:p w14:paraId="68AD2B05" w14:textId="77777777" w:rsidR="005F66D5" w:rsidRPr="00F471AA" w:rsidRDefault="005F66D5" w:rsidP="005F66D5">
      <w:pPr>
        <w:spacing w:before="100" w:after="0"/>
        <w:rPr>
          <w:rFonts w:ascii="Calibri" w:hAnsi="Calibri" w:cs="Calibri"/>
        </w:rPr>
      </w:pPr>
      <w:r w:rsidRPr="00F471AA">
        <w:rPr>
          <w:rFonts w:ascii="Calibri" w:hAnsi="Calibri" w:cs="Calibri"/>
        </w:rPr>
        <w:t>Les codes utilisés pour indiquer la possibilité de redoubler ou non sont les suivants :</w:t>
      </w:r>
    </w:p>
    <w:p w14:paraId="56585F8B" w14:textId="3388180A" w:rsidR="005F66D5" w:rsidRDefault="005F66D5" w:rsidP="005F66D5">
      <w:pPr>
        <w:spacing w:before="100" w:after="0"/>
        <w:rPr>
          <w:rFonts w:ascii="Calibri" w:hAnsi="Calibri" w:cs="Calibri"/>
        </w:rPr>
      </w:pPr>
      <w:r w:rsidRPr="00F471AA">
        <w:rPr>
          <w:rFonts w:ascii="Calibri" w:hAnsi="Calibri" w:cs="Calibri"/>
        </w:rPr>
        <w:t>AJAR (ajourné et admis à redoubler le niveau)</w:t>
      </w:r>
      <w:r w:rsidRPr="00F471AA">
        <w:rPr>
          <w:rFonts w:ascii="Calibri" w:hAnsi="Calibri" w:cs="Calibri"/>
        </w:rPr>
        <w:br/>
        <w:t>NAR (non admis à redoubler le niveau et les précédents)</w:t>
      </w:r>
    </w:p>
    <w:p w14:paraId="070F0736" w14:textId="77777777" w:rsidR="005A3884" w:rsidRDefault="005A3884" w:rsidP="005F66D5">
      <w:pPr>
        <w:spacing w:before="100" w:after="0"/>
        <w:rPr>
          <w:rFonts w:ascii="Calibri" w:hAnsi="Calibri" w:cs="Calibri"/>
          <w:color w:val="FF0000"/>
        </w:rPr>
      </w:pPr>
    </w:p>
    <w:p w14:paraId="6105BE08" w14:textId="677E6614" w:rsidR="005F66D5" w:rsidRDefault="00ED26BA" w:rsidP="005F66D5">
      <w:pPr>
        <w:pStyle w:val="Titre2"/>
        <w:ind w:left="792" w:hanging="432"/>
      </w:pPr>
      <w:r w:rsidRPr="005A3884">
        <w:lastRenderedPageBreak/>
        <w:t>Alternance (contrat d’apprentissage ou de professionnalisation)</w:t>
      </w:r>
    </w:p>
    <w:p w14:paraId="3458301E" w14:textId="05DBE4EC" w:rsidR="005F66D5" w:rsidRDefault="005F66D5" w:rsidP="00774222">
      <w:pPr>
        <w:pStyle w:val="Texte"/>
      </w:pPr>
      <w:r w:rsidRPr="00826D23">
        <w:t xml:space="preserve">La signature d’une convention de formation par </w:t>
      </w:r>
      <w:r w:rsidR="00ED26BA" w:rsidRPr="00F847DC">
        <w:t>alternance</w:t>
      </w:r>
      <w:r w:rsidRPr="00F847DC">
        <w:t xml:space="preserve"> engage l’IUT de Saint-Denis (le département de spécialité), le CFA, </w:t>
      </w:r>
      <w:r w:rsidR="006B361B" w:rsidRPr="00F847DC">
        <w:t>et l’a</w:t>
      </w:r>
      <w:r w:rsidR="00B0742F" w:rsidRPr="00F847DC">
        <w:t>lternant</w:t>
      </w:r>
      <w:r w:rsidR="006B361B" w:rsidRPr="00F847DC">
        <w:t xml:space="preserve"> </w:t>
      </w:r>
      <w:r w:rsidRPr="00F847DC">
        <w:t xml:space="preserve">sur toute la durée du parcours. En </w:t>
      </w:r>
      <w:r w:rsidR="006D539B" w:rsidRPr="00F847DC">
        <w:t>cas d’échec</w:t>
      </w:r>
      <w:r w:rsidR="00B0742F" w:rsidRPr="00F847DC">
        <w:t xml:space="preserve"> pour un apprenti,</w:t>
      </w:r>
      <w:r w:rsidR="006D539B" w:rsidRPr="00F847DC">
        <w:t xml:space="preserve"> plusieurs situations peuvent se présenter </w:t>
      </w:r>
      <w:r w:rsidRPr="00F847DC">
        <w:t xml:space="preserve">: </w:t>
      </w:r>
    </w:p>
    <w:p w14:paraId="380EA89B" w14:textId="56B748DE" w:rsidR="00F847DC" w:rsidRPr="00F847DC" w:rsidRDefault="00F847DC" w:rsidP="00F847DC">
      <w:pPr>
        <w:pStyle w:val="Tiret"/>
        <w:rPr>
          <w:b/>
        </w:rPr>
      </w:pPr>
      <w:r w:rsidRPr="00F847DC">
        <w:rPr>
          <w:b/>
        </w:rPr>
        <w:t xml:space="preserve">Cas </w:t>
      </w:r>
      <w:r w:rsidRPr="00F847DC">
        <w:rPr>
          <w:b/>
        </w:rPr>
        <w:t>1</w:t>
      </w:r>
      <w:r w:rsidRPr="00F847DC">
        <w:rPr>
          <w:b/>
        </w:rPr>
        <w:t xml:space="preserve"> - résultats insuffisants ne permettant pas la validation des UE en BUT1 ou en BUT2 :</w:t>
      </w:r>
    </w:p>
    <w:p w14:paraId="25671F26" w14:textId="77777777" w:rsidR="00F847DC" w:rsidRPr="00314B71" w:rsidRDefault="00F847DC" w:rsidP="00F847DC">
      <w:pPr>
        <w:pStyle w:val="Texte"/>
      </w:pPr>
      <w:r>
        <w:t xml:space="preserve">Il s’agit de la situation dans laquelle l’insuffisance des résultats ne permet pas une progression de droit suivant la règle précisée au 6.1. Dans ce cas : </w:t>
      </w:r>
    </w:p>
    <w:p w14:paraId="0022AA4F" w14:textId="77777777" w:rsidR="00F847DC" w:rsidRPr="00F847DC" w:rsidRDefault="00F847DC" w:rsidP="00F847DC">
      <w:pPr>
        <w:pStyle w:val="Paragraphedeliste"/>
        <w:numPr>
          <w:ilvl w:val="0"/>
          <w:numId w:val="27"/>
        </w:numPr>
        <w:ind w:left="851"/>
        <w:jc w:val="both"/>
        <w:rPr>
          <w:rFonts w:ascii="Calibri" w:hAnsi="Calibri" w:cs="Calibri"/>
        </w:rPr>
      </w:pPr>
      <w:r w:rsidRPr="00F847DC">
        <w:rPr>
          <w:rFonts w:ascii="Calibri" w:hAnsi="Calibri" w:cs="Calibri"/>
        </w:rPr>
        <w:t xml:space="preserve">Le contrat d’apprentissage continue d’être exécuté et en accord avec le CFA un parcours pédagogique « aménagé » peut être proposé à l’apprenti pour lui permettre la validation à postériori des UE en attente ; </w:t>
      </w:r>
    </w:p>
    <w:p w14:paraId="4CEC4056" w14:textId="77777777" w:rsidR="00F847DC" w:rsidRPr="00F847DC" w:rsidRDefault="00F847DC" w:rsidP="00F847DC">
      <w:pPr>
        <w:pStyle w:val="Paragraphedeliste"/>
        <w:numPr>
          <w:ilvl w:val="0"/>
          <w:numId w:val="27"/>
        </w:numPr>
        <w:ind w:left="851"/>
        <w:jc w:val="both"/>
        <w:rPr>
          <w:rFonts w:ascii="Calibri" w:hAnsi="Calibri" w:cs="Calibri"/>
        </w:rPr>
      </w:pPr>
      <w:r w:rsidRPr="00F847DC">
        <w:rPr>
          <w:rFonts w:ascii="Calibri" w:hAnsi="Calibri" w:cs="Calibri"/>
        </w:rPr>
        <w:t xml:space="preserve">L’apprenti est invité à réaliser une rupture de contrat avec l’employeur pour en signer un nouveau avec une autre entreprise. Ce deuxième contrat d’apprentissage couvre alors la durée totale de la formation qui reprend. </w:t>
      </w:r>
    </w:p>
    <w:p w14:paraId="2F396440" w14:textId="3C41F2D8" w:rsidR="006D539B" w:rsidRDefault="006D539B" w:rsidP="006D539B">
      <w:pPr>
        <w:pStyle w:val="Tiret"/>
      </w:pPr>
      <w:r w:rsidRPr="00F847DC">
        <w:rPr>
          <w:b/>
        </w:rPr>
        <w:t xml:space="preserve">Cas </w:t>
      </w:r>
      <w:r w:rsidR="00F847DC">
        <w:rPr>
          <w:b/>
        </w:rPr>
        <w:t>2</w:t>
      </w:r>
      <w:r w:rsidRPr="00F847DC">
        <w:rPr>
          <w:b/>
        </w:rPr>
        <w:t> - échec en BUT3</w:t>
      </w:r>
      <w:r w:rsidRPr="00F847DC">
        <w:t> : en application de l’article L 6222 11 du code du travail, l'apprentissage peut être prolongé pour une durée d'un an au plus :</w:t>
      </w:r>
    </w:p>
    <w:p w14:paraId="47C7C4CA" w14:textId="06065262" w:rsidR="006D539B" w:rsidRPr="00F847DC" w:rsidRDefault="006D539B" w:rsidP="00DA3E5D">
      <w:pPr>
        <w:pStyle w:val="Paragraphedeliste"/>
        <w:numPr>
          <w:ilvl w:val="0"/>
          <w:numId w:val="27"/>
        </w:numPr>
        <w:ind w:left="851"/>
        <w:jc w:val="both"/>
        <w:rPr>
          <w:rFonts w:ascii="Calibri" w:hAnsi="Calibri" w:cs="Calibri"/>
        </w:rPr>
      </w:pPr>
      <w:r w:rsidRPr="00F847DC">
        <w:rPr>
          <w:rFonts w:ascii="Calibri" w:hAnsi="Calibri" w:cs="Calibri"/>
        </w:rPr>
        <w:t>Soit par prorogation du contrat initial ou de la période d'apprentissage ;</w:t>
      </w:r>
    </w:p>
    <w:p w14:paraId="363AC85D" w14:textId="1ED3C9DF" w:rsidR="005F66D5" w:rsidRPr="00F847DC" w:rsidRDefault="006D539B" w:rsidP="00DA3E5D">
      <w:pPr>
        <w:pStyle w:val="Paragraphedeliste"/>
        <w:numPr>
          <w:ilvl w:val="0"/>
          <w:numId w:val="27"/>
        </w:numPr>
        <w:ind w:left="851"/>
        <w:jc w:val="both"/>
        <w:rPr>
          <w:rFonts w:ascii="Calibri" w:hAnsi="Calibri" w:cs="Calibri"/>
        </w:rPr>
      </w:pPr>
      <w:r w:rsidRPr="00F847DC">
        <w:rPr>
          <w:rFonts w:ascii="Calibri" w:hAnsi="Calibri" w:cs="Calibri"/>
        </w:rPr>
        <w:t>Soit par conclusion d'un nouveau contrat avec un autre employeur ;</w:t>
      </w:r>
    </w:p>
    <w:p w14:paraId="2876AEC7" w14:textId="77777777" w:rsidR="002F1EF3" w:rsidRPr="00BE16FE" w:rsidRDefault="002F1EF3" w:rsidP="002F1EF3">
      <w:pPr>
        <w:pStyle w:val="Titre1"/>
        <w:spacing w:before="480"/>
        <w:ind w:left="426" w:hanging="426"/>
      </w:pPr>
      <w:r>
        <w:t>G</w:t>
      </w:r>
      <w:r w:rsidRPr="00BE16FE">
        <w:t xml:space="preserve">estion </w:t>
      </w:r>
      <w:r>
        <w:t>du contrôle continu</w:t>
      </w:r>
      <w:bookmarkStart w:id="0" w:name="_GoBack"/>
      <w:bookmarkEnd w:id="0"/>
    </w:p>
    <w:p w14:paraId="6C1BC030" w14:textId="77777777" w:rsidR="002F1EF3" w:rsidRDefault="002F1EF3" w:rsidP="002F1EF3">
      <w:pPr>
        <w:pStyle w:val="Titre2"/>
        <w:ind w:left="792" w:hanging="432"/>
      </w:pPr>
      <w:r w:rsidRPr="00220F9A">
        <w:t>Organisation de l’évaluation des connaissances</w:t>
      </w:r>
    </w:p>
    <w:p w14:paraId="7FA8DE9B" w14:textId="24A0757F" w:rsidR="002F1EF3" w:rsidRPr="00C0196D" w:rsidRDefault="002F1EF3" w:rsidP="00774222">
      <w:pPr>
        <w:pStyle w:val="Texte"/>
      </w:pPr>
      <w:r w:rsidRPr="00C0196D">
        <w:t>L’acquisition des connaissances et des aptitudes est appréciée par un contrôle continu et régulier.</w:t>
      </w:r>
      <w:r>
        <w:t xml:space="preserve"> </w:t>
      </w:r>
      <w:r w:rsidRPr="00C0196D">
        <w:t xml:space="preserve">Le contrôle des connaissances se fait par des évaluations communes pouvant être effectuées pendant les cours, les TD, les TP ou lors des périodes prévues à cet effet. Leur programmation est laissée à l’appréciation de chaque responsable de discipline qui définit, en début </w:t>
      </w:r>
      <w:r w:rsidR="000D6D2E" w:rsidRPr="00774222">
        <w:t xml:space="preserve">de semestre ou </w:t>
      </w:r>
      <w:r w:rsidRPr="00C0196D">
        <w:t>d'année, les modalités d'évaluation. Celles-ci sont validées par le chef de département et communiquées aux étudiants.</w:t>
      </w:r>
    </w:p>
    <w:p w14:paraId="0C70D32D" w14:textId="77777777" w:rsidR="002F1EF3" w:rsidRPr="00C0196D" w:rsidRDefault="002F1EF3" w:rsidP="00774222">
      <w:pPr>
        <w:pStyle w:val="Texte"/>
      </w:pPr>
      <w:r w:rsidRPr="00C0196D">
        <w:t xml:space="preserve">Le </w:t>
      </w:r>
      <w:r w:rsidRPr="00220F9A">
        <w:t>principe</w:t>
      </w:r>
      <w:r w:rsidRPr="00C0196D">
        <w:t xml:space="preserve"> du contrôle continu donnera lieu obligatoirement à au moins deux notes pour toute activité d’enseignement d’une durée supérieure ou égal à 20 heures.</w:t>
      </w:r>
    </w:p>
    <w:p w14:paraId="5F622A5B" w14:textId="77777777" w:rsidR="002F1EF3" w:rsidRDefault="002F1EF3" w:rsidP="002F1EF3">
      <w:pPr>
        <w:pStyle w:val="Titre2"/>
        <w:ind w:left="792" w:hanging="432"/>
      </w:pPr>
      <w:r w:rsidRPr="00E31B87">
        <w:t>Règlement</w:t>
      </w:r>
      <w:r w:rsidRPr="00220F9A">
        <w:t xml:space="preserve"> en contrôle</w:t>
      </w:r>
      <w:r>
        <w:t xml:space="preserve"> des connaissances</w:t>
      </w:r>
    </w:p>
    <w:p w14:paraId="53FFCA10" w14:textId="77777777" w:rsidR="002F1EF3" w:rsidRPr="00220F9A" w:rsidRDefault="002F1EF3" w:rsidP="00774222">
      <w:pPr>
        <w:pStyle w:val="Texte"/>
      </w:pPr>
      <w:r w:rsidRPr="00220F9A">
        <w:t>Toute fraude ou tentative de fraude commise au cours d’une épreuve de contrôle continu entraînera la saisine de la section disciplinaire de l’université. Le cas de plagiat entraînera aussi la saisine de la section disciplinaire de l’université.</w:t>
      </w:r>
    </w:p>
    <w:p w14:paraId="16F79BF6" w14:textId="32C8B390" w:rsidR="002F1EF3" w:rsidRPr="00220F9A" w:rsidRDefault="00BF7A84" w:rsidP="00774222">
      <w:pPr>
        <w:pStyle w:val="Texte"/>
      </w:pPr>
      <w:r w:rsidRPr="00774222">
        <w:t>Lorsque la section disciplinaire est saisie pour un étudiant</w:t>
      </w:r>
      <w:r>
        <w:t>, i</w:t>
      </w:r>
      <w:r w:rsidR="002F1EF3" w:rsidRPr="00220F9A">
        <w:t xml:space="preserve">l ne </w:t>
      </w:r>
      <w:r w:rsidR="002F1EF3" w:rsidRPr="00774222">
        <w:t xml:space="preserve">peut </w:t>
      </w:r>
      <w:r w:rsidRPr="00774222">
        <w:t xml:space="preserve">lui </w:t>
      </w:r>
      <w:r w:rsidR="002F1EF3" w:rsidRPr="00220F9A">
        <w:t xml:space="preserve">être délivré aucun certificat de réussite ni de relevé de notes (même provisoire) avant que la formation de jugement n’ait statué sur </w:t>
      </w:r>
      <w:r w:rsidRPr="00774222">
        <w:t>son</w:t>
      </w:r>
      <w:r w:rsidRPr="00BF7A84">
        <w:rPr>
          <w:color w:val="FF0000"/>
        </w:rPr>
        <w:t xml:space="preserve"> </w:t>
      </w:r>
      <w:r w:rsidR="002F1EF3" w:rsidRPr="00220F9A">
        <w:t>cas.</w:t>
      </w:r>
    </w:p>
    <w:p w14:paraId="3426DF2B" w14:textId="77777777" w:rsidR="002F1EF3" w:rsidRPr="00220F9A" w:rsidRDefault="002F1EF3" w:rsidP="00774222">
      <w:pPr>
        <w:pStyle w:val="Texte"/>
      </w:pPr>
      <w:r w:rsidRPr="00220F9A">
        <w:t>Lors du contrôle des connaissances, les étudiants sont tenus de :</w:t>
      </w:r>
    </w:p>
    <w:p w14:paraId="524C544E" w14:textId="77777777" w:rsidR="002F1EF3" w:rsidRDefault="002F1EF3" w:rsidP="00774222">
      <w:pPr>
        <w:pStyle w:val="Tiret"/>
      </w:pPr>
      <w:r w:rsidRPr="00220F9A">
        <w:t>Vérifier préalablement sur les panneaux d’affichage, la date et le lieu du contrôle ;</w:t>
      </w:r>
    </w:p>
    <w:p w14:paraId="554B0C73" w14:textId="77777777" w:rsidR="002F1EF3" w:rsidRPr="002E77B7" w:rsidRDefault="002F1EF3" w:rsidP="00774222">
      <w:pPr>
        <w:pStyle w:val="Tiret"/>
      </w:pPr>
      <w:r w:rsidRPr="00220F9A">
        <w:t>Respecter le plan de salle affiché à l’entrée de la salle où se déroulent les contrôles ;</w:t>
      </w:r>
    </w:p>
    <w:p w14:paraId="3B2988FF" w14:textId="77777777" w:rsidR="002F1EF3" w:rsidRPr="00220F9A" w:rsidRDefault="002F1EF3" w:rsidP="00774222">
      <w:pPr>
        <w:pStyle w:val="Tiret"/>
      </w:pPr>
      <w:r w:rsidRPr="00220F9A">
        <w:t xml:space="preserve">Localiser leur place et la respecter impérativement (sauf si le personnel </w:t>
      </w:r>
      <w:r w:rsidRPr="00774222">
        <w:t>responsable</w:t>
      </w:r>
      <w:r w:rsidRPr="002E77B7">
        <w:rPr>
          <w:color w:val="FF0000"/>
        </w:rPr>
        <w:t xml:space="preserve"> </w:t>
      </w:r>
      <w:r w:rsidRPr="00220F9A">
        <w:t>de la surveillance décide de placer les étudiants autrement) ;</w:t>
      </w:r>
    </w:p>
    <w:p w14:paraId="437963B9" w14:textId="77777777" w:rsidR="002F1EF3" w:rsidRPr="00220F9A" w:rsidRDefault="002F1EF3" w:rsidP="00774222">
      <w:pPr>
        <w:pStyle w:val="Tiret"/>
      </w:pPr>
      <w:r w:rsidRPr="00220F9A">
        <w:lastRenderedPageBreak/>
        <w:t xml:space="preserve">Déposer leurs affaires, documents et </w:t>
      </w:r>
      <w:r w:rsidRPr="00774222">
        <w:t>objets connectés</w:t>
      </w:r>
      <w:r w:rsidRPr="00220F9A">
        <w:t xml:space="preserve"> préalablement éteints à l'entrée de la salle de contrôle ;</w:t>
      </w:r>
    </w:p>
    <w:p w14:paraId="22F375D1" w14:textId="77777777" w:rsidR="002F1EF3" w:rsidRPr="00220F9A" w:rsidRDefault="002F1EF3" w:rsidP="00774222">
      <w:pPr>
        <w:pStyle w:val="Tiret"/>
      </w:pPr>
      <w:r w:rsidRPr="00220F9A">
        <w:t>Pouvoir justifier de leur identité au moyen de leur carte d’étudiant ;</w:t>
      </w:r>
    </w:p>
    <w:p w14:paraId="70FBA2F2" w14:textId="77777777" w:rsidR="002F1EF3" w:rsidRPr="00220F9A" w:rsidRDefault="002F1EF3" w:rsidP="00774222">
      <w:pPr>
        <w:pStyle w:val="Tiret"/>
      </w:pPr>
      <w:r w:rsidRPr="00220F9A">
        <w:t>Ne parler ni communiquer entre eux ou avec l’extérieur, quel qu'en soit le motif ;</w:t>
      </w:r>
    </w:p>
    <w:p w14:paraId="00A71DD2" w14:textId="77777777" w:rsidR="002F1EF3" w:rsidRPr="00220F9A" w:rsidRDefault="002F1EF3" w:rsidP="00774222">
      <w:pPr>
        <w:pStyle w:val="Tiret"/>
      </w:pPr>
      <w:r w:rsidRPr="00220F9A">
        <w:t>Signer la feuille de présence ;</w:t>
      </w:r>
    </w:p>
    <w:p w14:paraId="262FB72A" w14:textId="77777777" w:rsidR="002F1EF3" w:rsidRPr="00220F9A" w:rsidRDefault="002F1EF3" w:rsidP="00774222">
      <w:pPr>
        <w:pStyle w:val="Tiret"/>
      </w:pPr>
      <w:r w:rsidRPr="00220F9A">
        <w:t>Respecter le temps de composition imparti ;</w:t>
      </w:r>
    </w:p>
    <w:p w14:paraId="0F9290BE" w14:textId="77777777" w:rsidR="002F1EF3" w:rsidRPr="00220F9A" w:rsidRDefault="002F1EF3" w:rsidP="00774222">
      <w:pPr>
        <w:pStyle w:val="Tiret"/>
      </w:pPr>
      <w:r w:rsidRPr="00220F9A">
        <w:t>Respecter les consignes du personnel</w:t>
      </w:r>
      <w:r w:rsidRPr="002E77B7">
        <w:rPr>
          <w:color w:val="FF0000"/>
        </w:rPr>
        <w:t xml:space="preserve"> </w:t>
      </w:r>
      <w:r w:rsidRPr="00774222">
        <w:t xml:space="preserve">responsable de la </w:t>
      </w:r>
      <w:r w:rsidRPr="00220F9A">
        <w:t>surveillance</w:t>
      </w:r>
      <w:r>
        <w:t>,</w:t>
      </w:r>
      <w:r w:rsidRPr="00220F9A">
        <w:t xml:space="preserve"> notamment l’utilisation des calculatrices et des documents pendant les contrôles ;</w:t>
      </w:r>
    </w:p>
    <w:p w14:paraId="04C776C5" w14:textId="3AC85437" w:rsidR="002F1EF3" w:rsidRPr="00220F9A" w:rsidRDefault="002F1EF3" w:rsidP="00774222">
      <w:pPr>
        <w:pStyle w:val="Tiret"/>
      </w:pPr>
      <w:r w:rsidRPr="00220F9A">
        <w:t xml:space="preserve">Respecter les consignes relatives à l’accès des salles où se déroulent les contrôles : cet accès sera interdit à tout </w:t>
      </w:r>
      <w:r w:rsidRPr="00774222">
        <w:t>étudiant</w:t>
      </w:r>
      <w:r w:rsidRPr="002E77B7">
        <w:rPr>
          <w:color w:val="FF0000"/>
        </w:rPr>
        <w:t xml:space="preserve"> </w:t>
      </w:r>
      <w:r w:rsidRPr="00220F9A">
        <w:t>se présentant après le premier tiers du temps imparti à l'épreuve, quel que soit le motif du retard. De même, il sera interdit de quitter les salles de contrôle avant la fin du premier tiers du temps imparti à l'épreuve.</w:t>
      </w:r>
    </w:p>
    <w:p w14:paraId="73242610" w14:textId="32539BF8" w:rsidR="002F1EF3" w:rsidRDefault="002F1EF3" w:rsidP="00774222">
      <w:pPr>
        <w:pStyle w:val="Texte"/>
      </w:pPr>
      <w:r w:rsidRPr="00220F9A">
        <w:t xml:space="preserve">Tout manquement aux consignes de même que tout outrage au personnel </w:t>
      </w:r>
      <w:r w:rsidRPr="00774222">
        <w:t xml:space="preserve">responsable de la </w:t>
      </w:r>
      <w:r w:rsidRPr="00220F9A">
        <w:t>surveillance peu</w:t>
      </w:r>
      <w:r>
        <w:t>ven</w:t>
      </w:r>
      <w:r w:rsidRPr="00220F9A">
        <w:t xml:space="preserve">t faire l’objet de </w:t>
      </w:r>
      <w:r w:rsidRPr="00774222">
        <w:t>saisine de la section disciplinaire de l’université</w:t>
      </w:r>
      <w:r w:rsidRPr="00220F9A">
        <w:t>.</w:t>
      </w:r>
    </w:p>
    <w:p w14:paraId="0E4F21B7" w14:textId="77777777" w:rsidR="001F3FAF" w:rsidRDefault="001F3FAF" w:rsidP="001F3FAF">
      <w:pPr>
        <w:pStyle w:val="Titre1"/>
        <w:spacing w:before="480"/>
        <w:ind w:left="426" w:hanging="426"/>
      </w:pPr>
      <w:r w:rsidRPr="00BA37ED">
        <w:t>Commission</w:t>
      </w:r>
      <w:r>
        <w:t xml:space="preserve"> de validation pédagogique et jury</w:t>
      </w:r>
    </w:p>
    <w:p w14:paraId="0CCD2294" w14:textId="5CD96CA5" w:rsidR="001F3FAF" w:rsidRPr="008A2400" w:rsidRDefault="001F3FAF" w:rsidP="00774222">
      <w:pPr>
        <w:pStyle w:val="Texte"/>
      </w:pPr>
      <w:r w:rsidRPr="008A2400">
        <w:t>L</w:t>
      </w:r>
      <w:r>
        <w:t>a validation des UE, la</w:t>
      </w:r>
      <w:r w:rsidRPr="008A2400">
        <w:t xml:space="preserve"> </w:t>
      </w:r>
      <w:r>
        <w:t>progression des étudiants</w:t>
      </w:r>
      <w:r w:rsidRPr="008A2400">
        <w:t xml:space="preserve"> et la délivrance d</w:t>
      </w:r>
      <w:r>
        <w:t xml:space="preserve">es diplômes (DUT et BUT) </w:t>
      </w:r>
      <w:r w:rsidRPr="008A2400">
        <w:t>se f</w:t>
      </w:r>
      <w:r>
        <w:t>ont</w:t>
      </w:r>
      <w:r w:rsidRPr="008A2400">
        <w:t xml:space="preserve"> à l’occasion du jury, après avis de la commission de validation pédagogique de chaque département.</w:t>
      </w:r>
    </w:p>
    <w:p w14:paraId="34B44AFA" w14:textId="77777777" w:rsidR="001F3FAF" w:rsidRDefault="001F3FAF" w:rsidP="001F3FAF">
      <w:pPr>
        <w:pStyle w:val="Titre2"/>
        <w:ind w:left="792" w:hanging="432"/>
      </w:pPr>
      <w:r>
        <w:t>Commission de validation pédagogique</w:t>
      </w:r>
    </w:p>
    <w:p w14:paraId="03AD300A" w14:textId="77777777" w:rsidR="001F3FAF" w:rsidRPr="008A2400" w:rsidRDefault="001F3FAF" w:rsidP="00774222">
      <w:pPr>
        <w:pStyle w:val="Texte"/>
      </w:pPr>
      <w:r w:rsidRPr="008A2400">
        <w:t xml:space="preserve">Au sein de chaque département, le ou la cheffe de département convoque et préside à chaque semestre la commission de validation pédagogique. Cette commission est composée de l’équipe enseignante de la formation. Elle a pour mission d’émettre des avis individuels sur la validation des UE, </w:t>
      </w:r>
      <w:r>
        <w:t>la progression des étudiants et</w:t>
      </w:r>
      <w:r w:rsidRPr="008A2400">
        <w:t xml:space="preserve"> l’obtention </w:t>
      </w:r>
      <w:r>
        <w:t>des diplômes (DUT et</w:t>
      </w:r>
      <w:r w:rsidRPr="008A2400">
        <w:t xml:space="preserve"> </w:t>
      </w:r>
      <w:r>
        <w:t>BUT)</w:t>
      </w:r>
      <w:r w:rsidRPr="008A2400">
        <w:t xml:space="preserve">. Ces avis sont soumis au jury </w:t>
      </w:r>
      <w:r>
        <w:t>de l’IUT</w:t>
      </w:r>
      <w:r w:rsidRPr="008A2400">
        <w:t xml:space="preserve"> seul habilité à entériner la décision.</w:t>
      </w:r>
    </w:p>
    <w:p w14:paraId="2618B398" w14:textId="4C9358B4" w:rsidR="001F3FAF" w:rsidRDefault="001F3FAF" w:rsidP="00774222">
      <w:pPr>
        <w:pStyle w:val="Texte"/>
      </w:pPr>
      <w:r w:rsidRPr="002419E2">
        <w:t xml:space="preserve">Les avis de la commission de validation pédagogique </w:t>
      </w:r>
      <w:r w:rsidRPr="00F471AA">
        <w:t>sont transmis au jury du BUT. Seules les notes</w:t>
      </w:r>
      <w:r w:rsidRPr="00887315">
        <w:rPr>
          <w:color w:val="FF0000"/>
        </w:rPr>
        <w:t xml:space="preserve"> </w:t>
      </w:r>
      <w:r>
        <w:t xml:space="preserve">sont </w:t>
      </w:r>
      <w:r w:rsidRPr="002419E2">
        <w:t>communiqué</w:t>
      </w:r>
      <w:r>
        <w:t>e</w:t>
      </w:r>
      <w:r w:rsidRPr="002419E2">
        <w:t>s aux étudiants par voie d’affichage</w:t>
      </w:r>
      <w:r>
        <w:t xml:space="preserve"> </w:t>
      </w:r>
      <w:r w:rsidRPr="00F471AA">
        <w:t>et consultables par chaque étudiant dans les espaces numériques (ENT et serveurs)</w:t>
      </w:r>
      <w:r>
        <w:t>.</w:t>
      </w:r>
      <w:r w:rsidR="009C7835">
        <w:t xml:space="preserve"> </w:t>
      </w:r>
      <w:r w:rsidR="009C7835" w:rsidRPr="00774222">
        <w:t>Lorsque l’affichage est réalisé sur les panneaux d’affichage, il ne doit comporter que les numéros des étudiants (sans leurs noms).</w:t>
      </w:r>
      <w:r w:rsidRPr="00774222">
        <w:t xml:space="preserve"> </w:t>
      </w:r>
      <w:r w:rsidR="00FF48C6" w:rsidRPr="00774222">
        <w:t>Aucun calcul de moyenne (UE/compétence et regroupement) ne peut être communiqué aux étudiants.</w:t>
      </w:r>
      <w:r w:rsidR="00FF48C6">
        <w:t xml:space="preserve"> </w:t>
      </w:r>
      <w:r w:rsidRPr="00774222">
        <w:t>Un étudiant peut transmettre des informations complémentaires au jury du BUT s’il est en désaccord avec les notes communiquées par la commission. Le jury analysera alors l’ensemble des éléments en sa possession. Ces informations complémentaires fournies par les étudiants doivent à la fois parvenir au secrétariat de direction de l’IUT et au secrétariat pédagogique du département au plus tard 24h avant le jury de l’IUT</w:t>
      </w:r>
      <w:r w:rsidRPr="002419E2">
        <w:t>.</w:t>
      </w:r>
    </w:p>
    <w:p w14:paraId="1CAE9E65" w14:textId="77777777" w:rsidR="001F3FAF" w:rsidRPr="001F3FAF" w:rsidRDefault="001F3FAF" w:rsidP="00774222">
      <w:pPr>
        <w:pStyle w:val="Texte"/>
      </w:pPr>
      <w:r>
        <w:t xml:space="preserve">Les codes utilisés par les commissions pédagogiques pour indiquer les validations des UE et la progression </w:t>
      </w:r>
      <w:r w:rsidRPr="001F3FAF">
        <w:t>sont ceux mentionnés précédemment.</w:t>
      </w:r>
    </w:p>
    <w:p w14:paraId="0AFFBC7A" w14:textId="77777777" w:rsidR="001F3FAF" w:rsidRDefault="001F3FAF" w:rsidP="001F3FAF">
      <w:pPr>
        <w:pStyle w:val="Titre2"/>
        <w:ind w:left="792" w:hanging="432"/>
      </w:pPr>
      <w:r>
        <w:t>Jury de l’IUT</w:t>
      </w:r>
    </w:p>
    <w:p w14:paraId="69BF37C1" w14:textId="291AFA44" w:rsidR="001F3FAF" w:rsidRPr="001F3FAF" w:rsidRDefault="001F3FAF" w:rsidP="001F3FAF">
      <w:pPr>
        <w:pStyle w:val="Titre3"/>
      </w:pPr>
      <w:r w:rsidRPr="001F3FAF">
        <w:t>Composition du jury de l’IUT</w:t>
      </w:r>
    </w:p>
    <w:p w14:paraId="67CAD1BC" w14:textId="77777777" w:rsidR="001F3FAF" w:rsidRDefault="001F3FAF" w:rsidP="00774222">
      <w:pPr>
        <w:pStyle w:val="Texte"/>
      </w:pPr>
      <w:r>
        <w:t>L</w:t>
      </w:r>
      <w:r w:rsidRPr="008C237A">
        <w:t xml:space="preserve">e jury constitué en </w:t>
      </w:r>
      <w:r w:rsidRPr="00D22BA4">
        <w:t>vue</w:t>
      </w:r>
      <w:r w:rsidRPr="008C237A">
        <w:t xml:space="preserve"> du passage de chaque semestre et de la délivrance du </w:t>
      </w:r>
      <w:r>
        <w:t>BUT</w:t>
      </w:r>
      <w:r w:rsidRPr="008C237A">
        <w:t xml:space="preserve"> </w:t>
      </w:r>
      <w:r>
        <w:t>est</w:t>
      </w:r>
      <w:r w:rsidRPr="008C237A">
        <w:t xml:space="preserve"> désigné par le président de l’université sur proposition du directeur de l’IUT. Ce jury </w:t>
      </w:r>
      <w:r>
        <w:t>est</w:t>
      </w:r>
      <w:r w:rsidRPr="008C237A">
        <w:t xml:space="preserve"> présidé par le directeur </w:t>
      </w:r>
      <w:r w:rsidRPr="008C237A">
        <w:lastRenderedPageBreak/>
        <w:t>de l’IUT et compren</w:t>
      </w:r>
      <w:r>
        <w:t>d</w:t>
      </w:r>
      <w:r w:rsidRPr="008C237A">
        <w:t xml:space="preserve"> les chefs de département, des enseignants-chercheurs, des enseignants, des chargés d'enseignement, le coordinateur pédagogique et des personnalités extérieures exerçant des fonctions en relation étroite avec l</w:t>
      </w:r>
      <w:r>
        <w:t>es</w:t>
      </w:r>
      <w:r w:rsidRPr="008C237A">
        <w:t xml:space="preserve"> spécialité</w:t>
      </w:r>
      <w:r>
        <w:t>s</w:t>
      </w:r>
      <w:r w:rsidRPr="008C237A">
        <w:t xml:space="preserve"> concernée</w:t>
      </w:r>
      <w:r>
        <w:t>s à l’IUT</w:t>
      </w:r>
      <w:r w:rsidRPr="008C237A">
        <w:t>, choisies dans les conditions prévues à l'article L.613-1 du code de l'éducation. Il compren</w:t>
      </w:r>
      <w:r>
        <w:t>d</w:t>
      </w:r>
      <w:r w:rsidRPr="008C237A">
        <w:t xml:space="preserve"> au moins 50% d'enseignants-chercheurs et d'enseignants</w:t>
      </w:r>
      <w:r>
        <w:t xml:space="preserve"> et au moins 25% de personnalités extérieures</w:t>
      </w:r>
      <w:r w:rsidRPr="008C237A">
        <w:t>.</w:t>
      </w:r>
    </w:p>
    <w:p w14:paraId="6ADD0557" w14:textId="77777777" w:rsidR="001F3FAF" w:rsidRDefault="001F3FAF" w:rsidP="00152D9F">
      <w:pPr>
        <w:pStyle w:val="Titre3"/>
      </w:pPr>
      <w:r w:rsidRPr="006947A0">
        <w:t>Règles de fonctionnement du jury</w:t>
      </w:r>
    </w:p>
    <w:p w14:paraId="3C22D7F6" w14:textId="77777777" w:rsidR="001F3FAF" w:rsidRPr="006947A0" w:rsidRDefault="001F3FAF" w:rsidP="00774222">
      <w:pPr>
        <w:pStyle w:val="Texte"/>
      </w:pPr>
      <w:r w:rsidRPr="006947A0">
        <w:t>Les dates de réunion et la composition du jury doivent être communiquées aux étudiants.</w:t>
      </w:r>
    </w:p>
    <w:p w14:paraId="1FC3CDDD" w14:textId="4BBEC28A" w:rsidR="001F3FAF" w:rsidRDefault="001F3FAF" w:rsidP="00774222">
      <w:pPr>
        <w:pStyle w:val="Texte"/>
      </w:pPr>
      <w:r w:rsidRPr="002419E2">
        <w:t xml:space="preserve">Le jury présidé par le directeur de l’IUT délibère souverainement à partir de l'ensemble des résultats obtenus par l'étudiant. Il se réunit chaque semestre pour se prononcer sur la </w:t>
      </w:r>
      <w:r>
        <w:t xml:space="preserve">validation des UE, la </w:t>
      </w:r>
      <w:r w:rsidRPr="002419E2">
        <w:t xml:space="preserve">progression des étudiants, l’attribution du diplôme universitaire de technologie au terme de l’acquisition des 120 premiers crédits européens du cursus et l’attribution </w:t>
      </w:r>
      <w:r>
        <w:t xml:space="preserve">du BUT. </w:t>
      </w:r>
      <w:r w:rsidRPr="008C237A">
        <w:t xml:space="preserve">Après proclamation des résultats, le jury est tenu </w:t>
      </w:r>
      <w:r w:rsidRPr="00774222">
        <w:t xml:space="preserve">de </w:t>
      </w:r>
      <w:r w:rsidR="005B232A" w:rsidRPr="00774222">
        <w:t xml:space="preserve">les </w:t>
      </w:r>
      <w:r w:rsidRPr="00774222">
        <w:t xml:space="preserve">communiquer aux étudiants. </w:t>
      </w:r>
      <w:r w:rsidRPr="008C237A">
        <w:t>Les étudiants ont droit, à leur demande et dans un délai raisonnable à la communication de leurs copies et à un entretien individuel, si besoin.</w:t>
      </w:r>
      <w:r w:rsidR="009770AE">
        <w:t xml:space="preserve"> </w:t>
      </w:r>
      <w:r w:rsidR="009770AE" w:rsidRPr="00774222">
        <w:t>De même et toujours dans un délai raisonnable, tout étudiant qui est en désaccord avec les décisions le concernant peut formuler un recours. Il doit pour cela</w:t>
      </w:r>
      <w:r w:rsidR="00F20F47" w:rsidRPr="00774222">
        <w:t xml:space="preserve"> </w:t>
      </w:r>
      <w:r w:rsidR="009770AE" w:rsidRPr="00774222">
        <w:t xml:space="preserve">transmettre les informations complémentaires </w:t>
      </w:r>
      <w:r w:rsidR="00EC0491" w:rsidRPr="00774222">
        <w:t xml:space="preserve">qu’il juge utiles </w:t>
      </w:r>
      <w:r w:rsidR="009770AE" w:rsidRPr="00774222">
        <w:t>à la fois au secrétariat de direction de l’IUT et au secrétariat pédagogique d</w:t>
      </w:r>
      <w:r w:rsidR="00EC0491" w:rsidRPr="00774222">
        <w:t>e son</w:t>
      </w:r>
      <w:r w:rsidR="009770AE" w:rsidRPr="00774222">
        <w:t xml:space="preserve"> département. Le directeur (président du jury) organise dans ce cas une deuxième session du jury qui analysera alors l’ensemble des éléments en sa possession pour rendre la décision finale.</w:t>
      </w:r>
    </w:p>
    <w:p w14:paraId="35BD546D" w14:textId="77777777" w:rsidR="001F3FAF" w:rsidRDefault="001F3FAF" w:rsidP="00152D9F">
      <w:pPr>
        <w:pStyle w:val="Titre3"/>
      </w:pPr>
      <w:r w:rsidRPr="00985C42">
        <w:t>Délivrance du diplôme</w:t>
      </w:r>
    </w:p>
    <w:p w14:paraId="3B5CBBD4" w14:textId="77777777" w:rsidR="001F3FAF" w:rsidRPr="00985C42" w:rsidRDefault="001F3FAF" w:rsidP="00774222">
      <w:pPr>
        <w:pStyle w:val="Texte"/>
      </w:pPr>
      <w:r w:rsidRPr="00985C42">
        <w:t>Le diplôme portant mention du BUT et de la spécialité correspondante, est délivré par le président de l’université sur proposition d’un jury présidé par le directeur de l’IUT.</w:t>
      </w:r>
    </w:p>
    <w:p w14:paraId="6F9E92DF" w14:textId="77777777" w:rsidR="001F3FAF" w:rsidRDefault="001F3FAF" w:rsidP="00774222">
      <w:pPr>
        <w:pStyle w:val="Texte"/>
      </w:pPr>
      <w:r w:rsidRPr="008C237A">
        <w:t xml:space="preserve">Pour les étudiants qui sortent de l’IUT sans avoir obtenu le diplôme suivi, ils reçoivent une attestation d’études comportant la liste des unités d’enseignement capitalisables qu’ils ont acquises. Cette liste correspond aux unités d’enseignement dans lesquelles la moyenne est </w:t>
      </w:r>
      <w:r w:rsidRPr="00413A0D">
        <w:t>égale ou supérieure à 10 sur 20</w:t>
      </w:r>
      <w:r>
        <w:t>.</w:t>
      </w:r>
    </w:p>
    <w:p w14:paraId="4F0D7540" w14:textId="2D2B05E4" w:rsidR="00A57581" w:rsidRPr="00152D9F" w:rsidRDefault="00CC465B" w:rsidP="00152D9F">
      <w:pPr>
        <w:pStyle w:val="Titre1"/>
        <w:spacing w:before="480"/>
        <w:ind w:left="426" w:hanging="426"/>
      </w:pPr>
      <w:r w:rsidRPr="000A0B56">
        <w:t xml:space="preserve">Evaluation des enseignements </w:t>
      </w:r>
    </w:p>
    <w:p w14:paraId="323B0E03" w14:textId="77777777" w:rsidR="00152D9F" w:rsidRPr="008A2400" w:rsidRDefault="00152D9F" w:rsidP="00774222">
      <w:pPr>
        <w:pStyle w:val="Texte"/>
      </w:pPr>
      <w:r w:rsidRPr="00092319">
        <w:t xml:space="preserve">L’évaluation des enseignements est réalisée à la fin de chaque année universitaire. Pour les départements qui le souhaitent, l’évaluation des enseignements peut </w:t>
      </w:r>
      <w:r>
        <w:t>être</w:t>
      </w:r>
      <w:r w:rsidRPr="00092319">
        <w:t xml:space="preserve"> réalisée à la fin de chaque semestre. Pour chaque spécialité de BUT, les résultats sont analysés par le chef du département et les directeurs des études puis présentés au conseil de perfectionnement de la spécialité.</w:t>
      </w:r>
      <w:r>
        <w:t xml:space="preserve">  </w:t>
      </w:r>
    </w:p>
    <w:p w14:paraId="1E955179" w14:textId="77777777" w:rsidR="00152D9F" w:rsidRPr="009F763E" w:rsidRDefault="00152D9F" w:rsidP="00152D9F">
      <w:pPr>
        <w:pStyle w:val="Titre1"/>
        <w:spacing w:before="480"/>
        <w:ind w:left="426" w:hanging="426"/>
      </w:pPr>
      <w:r>
        <w:t>Recours (procédure gracieuse et contentieuse)</w:t>
      </w:r>
      <w:r w:rsidRPr="00BE16FE">
        <w:t xml:space="preserve"> </w:t>
      </w:r>
    </w:p>
    <w:p w14:paraId="1E765498" w14:textId="159DE35F" w:rsidR="00440D82" w:rsidRDefault="00440D82" w:rsidP="00774222">
      <w:pPr>
        <w:pStyle w:val="Texte"/>
      </w:pPr>
      <w:r w:rsidRPr="00F847DC">
        <w:t>Le jury de l’IUT chargé d’examiner les recours amiables est organisé 7 jours après celui ordinaire décrit au point 8.2</w:t>
      </w:r>
      <w:r>
        <w:t>.</w:t>
      </w:r>
    </w:p>
    <w:p w14:paraId="61635444" w14:textId="31CA0598" w:rsidR="00152D9F" w:rsidRPr="003A092F" w:rsidRDefault="00E95864" w:rsidP="00774222">
      <w:pPr>
        <w:pStyle w:val="Texte"/>
      </w:pPr>
      <w:r w:rsidRPr="003A092F">
        <w:t xml:space="preserve">Pour tout recours amiable sur les résultats affichés après délibération du jury, l’étudiant doit prendre contact avec le secrétariat de direction de </w:t>
      </w:r>
      <w:r w:rsidRPr="00F847DC">
        <w:t>l’IUT</w:t>
      </w:r>
      <w:r w:rsidR="00440D82" w:rsidRPr="00F847DC">
        <w:t xml:space="preserve"> et transmettre sa lettre de recours avec les documents utiles avant la date de réunion du jury ordinaire</w:t>
      </w:r>
      <w:r w:rsidRPr="00F847DC">
        <w:t xml:space="preserve">. </w:t>
      </w:r>
      <w:r w:rsidR="00152D9F" w:rsidRPr="003A092F">
        <w:t>Toute contestation peut ensuite être portée devant la juridiction administrative compétente</w:t>
      </w:r>
      <w:r>
        <w:t xml:space="preserve">, </w:t>
      </w:r>
      <w:r w:rsidRPr="003A092F">
        <w:t xml:space="preserve">conformément aux dispositions de l’article R.421-1 du </w:t>
      </w:r>
      <w:r>
        <w:t>code de justice administrative,</w:t>
      </w:r>
      <w:r w:rsidR="00152D9F" w:rsidRPr="003A092F">
        <w:t xml:space="preserve"> </w:t>
      </w:r>
      <w:r w:rsidR="00152D9F" w:rsidRPr="00774222">
        <w:t xml:space="preserve">dans un délai de deux mois </w:t>
      </w:r>
      <w:r w:rsidRPr="00774222">
        <w:t xml:space="preserve">à partir de l’affichage des </w:t>
      </w:r>
      <w:r w:rsidRPr="00774222">
        <w:lastRenderedPageBreak/>
        <w:t xml:space="preserve">décisions du premier jury lorsqu’aucun recours amiable n’a été adressé à l’IUT, soit à partir de l’affichage des décisions du deuxième jury dans le cas contraire (recours amiable adressé à l’IUT). </w:t>
      </w:r>
      <w:r w:rsidR="00152D9F" w:rsidRPr="003A092F">
        <w:t>Ce recours pourra, le cas échéant, être précédé d’un recours a</w:t>
      </w:r>
      <w:r w:rsidR="00B404B4">
        <w:t xml:space="preserve">dministratif préalable </w:t>
      </w:r>
      <w:r w:rsidR="00152D9F" w:rsidRPr="003A092F">
        <w:t xml:space="preserve">adresser </w:t>
      </w:r>
      <w:r w:rsidR="00B404B4">
        <w:t xml:space="preserve">dans le même délai indiqué précédemment </w:t>
      </w:r>
      <w:r w:rsidR="00152D9F" w:rsidRPr="003A092F">
        <w:t>soit au président de jury, soit au président de l’université.</w:t>
      </w:r>
    </w:p>
    <w:p w14:paraId="289D365B" w14:textId="530C824D" w:rsidR="00152D9F" w:rsidRPr="000A0B56" w:rsidRDefault="00152D9F" w:rsidP="00774222">
      <w:pPr>
        <w:pStyle w:val="Texte"/>
      </w:pPr>
      <w:r w:rsidRPr="008C237A">
        <w:t>Au-delà de ce délai, le recours sera jugé comme irrecevable car tardif. La décision administrative sera alors considérée comme définitive, c'est-à-dire qu'elle ne sera plus susceptible de recours.</w:t>
      </w:r>
    </w:p>
    <w:sectPr w:rsidR="00152D9F" w:rsidRPr="000A0B56" w:rsidSect="009B7EFF">
      <w:headerReference w:type="even" r:id="rId9"/>
      <w:headerReference w:type="default" r:id="rId10"/>
      <w:footerReference w:type="even" r:id="rId11"/>
      <w:footerReference w:type="default" r:id="rId12"/>
      <w:pgSz w:w="11900" w:h="16840"/>
      <w:pgMar w:top="1078" w:right="1127" w:bottom="426" w:left="1134" w:header="0" w:footer="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FA11" w14:textId="77777777" w:rsidR="00F67372" w:rsidRDefault="00F67372" w:rsidP="00935206">
      <w:pPr>
        <w:spacing w:after="0"/>
      </w:pPr>
      <w:r>
        <w:separator/>
      </w:r>
    </w:p>
  </w:endnote>
  <w:endnote w:type="continuationSeparator" w:id="0">
    <w:p w14:paraId="44921602" w14:textId="77777777" w:rsidR="00F67372" w:rsidRDefault="00F67372" w:rsidP="00935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2CE7" w14:textId="77777777" w:rsidR="000A0B56" w:rsidRDefault="000A0B56" w:rsidP="000A0B56">
    <w:pPr>
      <w:pStyle w:val="Pieddepage"/>
    </w:pPr>
    <w:r w:rsidRPr="000A0B56">
      <w:rPr>
        <w:noProof/>
        <w:lang w:eastAsia="fr-FR"/>
      </w:rPr>
      <w:drawing>
        <wp:inline distT="0" distB="0" distL="0" distR="0" wp14:anchorId="4F2F63B9" wp14:editId="681186D2">
          <wp:extent cx="2434281" cy="874930"/>
          <wp:effectExtent l="0" t="0" r="4445" b="1905"/>
          <wp:docPr id="5186578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57066" name=""/>
                  <pic:cNvPicPr/>
                </pic:nvPicPr>
                <pic:blipFill>
                  <a:blip r:embed="rId1"/>
                  <a:stretch>
                    <a:fillRect/>
                  </a:stretch>
                </pic:blipFill>
                <pic:spPr>
                  <a:xfrm>
                    <a:off x="0" y="0"/>
                    <a:ext cx="2560857" cy="920424"/>
                  </a:xfrm>
                  <a:prstGeom prst="rect">
                    <a:avLst/>
                  </a:prstGeom>
                </pic:spPr>
              </pic:pic>
            </a:graphicData>
          </a:graphic>
        </wp:inline>
      </w:drawing>
    </w:r>
  </w:p>
  <w:p w14:paraId="0539C506" w14:textId="77777777" w:rsidR="000A0B56" w:rsidRDefault="000A0B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9B84" w14:textId="6020B5C6" w:rsidR="009B7EFF" w:rsidRDefault="000A0B56">
    <w:pPr>
      <w:pStyle w:val="Pieddepage"/>
    </w:pPr>
    <w:r w:rsidRPr="000A0B56">
      <w:rPr>
        <w:noProof/>
        <w:lang w:eastAsia="fr-FR"/>
      </w:rPr>
      <w:drawing>
        <wp:inline distT="0" distB="0" distL="0" distR="0" wp14:anchorId="61EA47BE" wp14:editId="03F268E5">
          <wp:extent cx="2434281" cy="874930"/>
          <wp:effectExtent l="0" t="0" r="4445" b="1905"/>
          <wp:docPr id="16844570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57066" name=""/>
                  <pic:cNvPicPr/>
                </pic:nvPicPr>
                <pic:blipFill>
                  <a:blip r:embed="rId1"/>
                  <a:stretch>
                    <a:fillRect/>
                  </a:stretch>
                </pic:blipFill>
                <pic:spPr>
                  <a:xfrm>
                    <a:off x="0" y="0"/>
                    <a:ext cx="2560857" cy="920424"/>
                  </a:xfrm>
                  <a:prstGeom prst="rect">
                    <a:avLst/>
                  </a:prstGeom>
                </pic:spPr>
              </pic:pic>
            </a:graphicData>
          </a:graphic>
        </wp:inline>
      </w:drawing>
    </w:r>
  </w:p>
  <w:p w14:paraId="355B3D51" w14:textId="2A5DB4DB" w:rsidR="00935206" w:rsidRDefault="00935206" w:rsidP="009E0337">
    <w:pPr>
      <w:pStyle w:val="Pieddepag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230C1" w14:textId="77777777" w:rsidR="00F67372" w:rsidRDefault="00F67372" w:rsidP="00935206">
      <w:pPr>
        <w:spacing w:after="0"/>
      </w:pPr>
      <w:r>
        <w:separator/>
      </w:r>
    </w:p>
  </w:footnote>
  <w:footnote w:type="continuationSeparator" w:id="0">
    <w:p w14:paraId="5558C151" w14:textId="77777777" w:rsidR="00F67372" w:rsidRDefault="00F67372" w:rsidP="009352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30D9" w14:textId="77777777" w:rsidR="000A0B56" w:rsidRDefault="000A0B56" w:rsidP="000A0B56">
    <w:pPr>
      <w:pStyle w:val="En-tte"/>
      <w:ind w:left="-1134" w:right="-418"/>
    </w:pPr>
    <w:r>
      <w:t xml:space="preserve">      </w:t>
    </w:r>
  </w:p>
  <w:p w14:paraId="0B8549D5" w14:textId="53494BDA" w:rsidR="000A0B56" w:rsidRDefault="000A0B56" w:rsidP="000A0B56">
    <w:pPr>
      <w:pStyle w:val="En-tte"/>
      <w:ind w:left="-1134" w:right="-418"/>
    </w:pPr>
    <w:r>
      <w:t xml:space="preserve">                     </w:t>
    </w:r>
    <w:r>
      <w:rPr>
        <w:noProof/>
        <w:lang w:eastAsia="fr-FR"/>
      </w:rPr>
      <w:drawing>
        <wp:inline distT="0" distB="0" distL="0" distR="0" wp14:anchorId="61CA29C2" wp14:editId="23B0DE35">
          <wp:extent cx="1578821" cy="657842"/>
          <wp:effectExtent l="0" t="0" r="0" b="3175"/>
          <wp:docPr id="21109426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12632" name="Image 1824312632"/>
                  <pic:cNvPicPr/>
                </pic:nvPicPr>
                <pic:blipFill>
                  <a:blip r:embed="rId1"/>
                  <a:stretch>
                    <a:fillRect/>
                  </a:stretch>
                </pic:blipFill>
                <pic:spPr>
                  <a:xfrm>
                    <a:off x="0" y="0"/>
                    <a:ext cx="1644237" cy="6850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2269" w14:textId="77777777" w:rsidR="00503A1E" w:rsidRDefault="00503A1E" w:rsidP="009E0337">
    <w:pPr>
      <w:pStyle w:val="En-tte"/>
      <w:ind w:left="-1134" w:right="-418"/>
    </w:pPr>
    <w:r>
      <w:t xml:space="preserve">      </w:t>
    </w:r>
  </w:p>
  <w:p w14:paraId="1AD96E4C" w14:textId="0B147F5E" w:rsidR="00935206" w:rsidRDefault="00503A1E" w:rsidP="009E0337">
    <w:pPr>
      <w:pStyle w:val="En-tte"/>
      <w:ind w:left="-1134" w:right="-418"/>
    </w:pPr>
    <w:r>
      <w:t xml:space="preserve">                     </w:t>
    </w:r>
    <w:r>
      <w:rPr>
        <w:noProof/>
        <w:lang w:eastAsia="fr-FR"/>
      </w:rPr>
      <w:drawing>
        <wp:inline distT="0" distB="0" distL="0" distR="0" wp14:anchorId="3D4E37A4" wp14:editId="59A56AD9">
          <wp:extent cx="1578821" cy="657842"/>
          <wp:effectExtent l="0" t="0" r="0" b="3175"/>
          <wp:docPr id="18243126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12632" name="Image 1824312632"/>
                  <pic:cNvPicPr/>
                </pic:nvPicPr>
                <pic:blipFill>
                  <a:blip r:embed="rId1"/>
                  <a:stretch>
                    <a:fillRect/>
                  </a:stretch>
                </pic:blipFill>
                <pic:spPr>
                  <a:xfrm>
                    <a:off x="0" y="0"/>
                    <a:ext cx="1644237" cy="685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C9A"/>
    <w:multiLevelType w:val="hybridMultilevel"/>
    <w:tmpl w:val="7DD8660A"/>
    <w:lvl w:ilvl="0" w:tplc="DAA2271A">
      <w:start w:val="1"/>
      <w:numFmt w:val="bullet"/>
      <w:lvlText w:val=""/>
      <w:lvlJc w:val="left"/>
      <w:pPr>
        <w:ind w:left="1211"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9430DBC"/>
    <w:multiLevelType w:val="hybridMultilevel"/>
    <w:tmpl w:val="C7D83FFA"/>
    <w:lvl w:ilvl="0" w:tplc="BB449A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CB77EF"/>
    <w:multiLevelType w:val="hybridMultilevel"/>
    <w:tmpl w:val="EADCA8E0"/>
    <w:lvl w:ilvl="0" w:tplc="040C000F">
      <w:start w:val="1"/>
      <w:numFmt w:val="decimal"/>
      <w:lvlText w:val="%1."/>
      <w:lvlJc w:val="left"/>
      <w:pPr>
        <w:ind w:left="360" w:hanging="360"/>
      </w:pPr>
      <w:rPr>
        <w:rFonts w:hint="default"/>
      </w:rPr>
    </w:lvl>
    <w:lvl w:ilvl="1" w:tplc="8D8CCEE0">
      <w:start w:val="1"/>
      <w:numFmt w:val="bullet"/>
      <w:lvlText w:val=""/>
      <w:lvlJc w:val="left"/>
      <w:pPr>
        <w:ind w:left="1080" w:hanging="360"/>
      </w:pPr>
      <w:rPr>
        <w:rFonts w:ascii="Wingdings" w:hAnsi="Wingdings" w:hint="default"/>
        <w:color w:val="1F497D" w:themeColor="text2"/>
        <w:sz w:val="24"/>
        <w:u w:color="1F497D" w:themeColor="text2"/>
      </w:rPr>
    </w:lvl>
    <w:lvl w:ilvl="2" w:tplc="040C000F">
      <w:start w:val="1"/>
      <w:numFmt w:val="decimal"/>
      <w:lvlText w:val="%3."/>
      <w:lvlJc w:val="left"/>
      <w:pPr>
        <w:ind w:left="2325" w:hanging="705"/>
      </w:pPr>
      <w:rPr>
        <w:rFonts w:hint="default"/>
      </w:rPr>
    </w:lvl>
    <w:lvl w:ilvl="3" w:tplc="040C000F">
      <w:start w:val="1"/>
      <w:numFmt w:val="decimal"/>
      <w:lvlText w:val="%4."/>
      <w:lvlJc w:val="left"/>
      <w:pPr>
        <w:ind w:left="2520" w:hanging="360"/>
      </w:pPr>
    </w:lvl>
    <w:lvl w:ilvl="4" w:tplc="040C0001">
      <w:start w:val="1"/>
      <w:numFmt w:val="bullet"/>
      <w:lvlText w:val=""/>
      <w:lvlJc w:val="left"/>
      <w:pPr>
        <w:ind w:left="3240" w:hanging="360"/>
      </w:pPr>
      <w:rPr>
        <w:rFonts w:ascii="Symbol" w:hAnsi="Symbol" w:hint="default"/>
      </w:r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BEB3CD6"/>
    <w:multiLevelType w:val="hybridMultilevel"/>
    <w:tmpl w:val="F4785FE0"/>
    <w:lvl w:ilvl="0" w:tplc="90B2A43A">
      <w:start w:val="1"/>
      <w:numFmt w:val="bullet"/>
      <w:lvlText w:val="*"/>
      <w:lvlJc w:val="left"/>
      <w:pPr>
        <w:ind w:left="1353" w:hanging="360"/>
      </w:pPr>
      <w:rPr>
        <w:rFonts w:ascii="SimSun-ExtB" w:eastAsia="SimSun-ExtB" w:hAnsi="SimSun-ExtB" w:hint="eastAsia"/>
        <w:color w:val="1F497D" w:themeColor="text2"/>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1D2E1DDE"/>
    <w:multiLevelType w:val="multilevel"/>
    <w:tmpl w:val="7DD0FD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6F46D0"/>
    <w:multiLevelType w:val="multilevel"/>
    <w:tmpl w:val="354E79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D40020"/>
    <w:multiLevelType w:val="hybridMultilevel"/>
    <w:tmpl w:val="F4D43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07C2D"/>
    <w:multiLevelType w:val="hybridMultilevel"/>
    <w:tmpl w:val="1EF621D2"/>
    <w:styleLink w:val="Puce"/>
    <w:lvl w:ilvl="0" w:tplc="E95C00D0">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F8BF56">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481EA">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18A6B2">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7A077C">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A2629E">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68CB80">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AF438">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2C321C">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EE96219"/>
    <w:multiLevelType w:val="multilevel"/>
    <w:tmpl w:val="9C8084CA"/>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D84F2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A625E3"/>
    <w:multiLevelType w:val="hybridMultilevel"/>
    <w:tmpl w:val="51A24894"/>
    <w:lvl w:ilvl="0" w:tplc="E5AC9BE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C61417"/>
    <w:multiLevelType w:val="hybridMultilevel"/>
    <w:tmpl w:val="77A0CC78"/>
    <w:lvl w:ilvl="0" w:tplc="961E747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B26EE8"/>
    <w:multiLevelType w:val="hybridMultilevel"/>
    <w:tmpl w:val="352671CA"/>
    <w:lvl w:ilvl="0" w:tplc="DAA2271A">
      <w:start w:val="1"/>
      <w:numFmt w:val="bullet"/>
      <w:lvlText w:val=""/>
      <w:lvlJc w:val="left"/>
      <w:pPr>
        <w:ind w:left="644"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54BD1E54"/>
    <w:multiLevelType w:val="hybridMultilevel"/>
    <w:tmpl w:val="99FE1216"/>
    <w:lvl w:ilvl="0" w:tplc="42CE398E">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2E82BDE"/>
    <w:multiLevelType w:val="hybridMultilevel"/>
    <w:tmpl w:val="0FFEDE8A"/>
    <w:lvl w:ilvl="0" w:tplc="D9F292E6">
      <w:start w:val="1"/>
      <w:numFmt w:val="bullet"/>
      <w:pStyle w:val="Tir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7D109F"/>
    <w:multiLevelType w:val="hybridMultilevel"/>
    <w:tmpl w:val="8B28F254"/>
    <w:lvl w:ilvl="0" w:tplc="DAA2271A">
      <w:start w:val="1"/>
      <w:numFmt w:val="bullet"/>
      <w:lvlText w:val=""/>
      <w:lvlJc w:val="left"/>
      <w:pPr>
        <w:ind w:left="2771"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15:restartNumberingAfterBreak="0">
    <w:nsid w:val="63C07D50"/>
    <w:multiLevelType w:val="multilevel"/>
    <w:tmpl w:val="A97C85EE"/>
    <w:lvl w:ilvl="0">
      <w:start w:val="1"/>
      <w:numFmt w:val="decimal"/>
      <w:lvlText w:val="%1."/>
      <w:lvlJc w:val="left"/>
      <w:pPr>
        <w:ind w:left="42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D45F78"/>
    <w:multiLevelType w:val="multilevel"/>
    <w:tmpl w:val="833AA5DE"/>
    <w:lvl w:ilvl="0">
      <w:start w:val="1"/>
      <w:numFmt w:val="decimal"/>
      <w:lvlText w:val="%1."/>
      <w:lvlJc w:val="left"/>
      <w:pPr>
        <w:ind w:left="42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613DEB"/>
    <w:multiLevelType w:val="multilevel"/>
    <w:tmpl w:val="CEC63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DA255C"/>
    <w:multiLevelType w:val="hybridMultilevel"/>
    <w:tmpl w:val="ED268808"/>
    <w:lvl w:ilvl="0" w:tplc="DAA2271A">
      <w:start w:val="1"/>
      <w:numFmt w:val="bullet"/>
      <w:lvlText w:val=""/>
      <w:lvlJc w:val="left"/>
      <w:pPr>
        <w:ind w:left="720"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18598B"/>
    <w:multiLevelType w:val="hybridMultilevel"/>
    <w:tmpl w:val="D00AC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87325F"/>
    <w:multiLevelType w:val="hybridMultilevel"/>
    <w:tmpl w:val="5EC8A3EC"/>
    <w:lvl w:ilvl="0" w:tplc="DAA2271A">
      <w:start w:val="1"/>
      <w:numFmt w:val="bullet"/>
      <w:lvlText w:val=""/>
      <w:lvlJc w:val="left"/>
      <w:pPr>
        <w:ind w:left="927" w:hanging="360"/>
      </w:pPr>
      <w:rPr>
        <w:rFonts w:ascii="Wingdings" w:hAnsi="Wingdings" w:hint="default"/>
        <w:color w:val="31849B" w:themeColor="accent5" w:themeShade="BF"/>
        <w:sz w:val="20"/>
        <w:u w:color="31849B" w:themeColor="accent5" w:themeShade="BF"/>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12"/>
  </w:num>
  <w:num w:numId="6">
    <w:abstractNumId w:val="15"/>
  </w:num>
  <w:num w:numId="7">
    <w:abstractNumId w:val="21"/>
  </w:num>
  <w:num w:numId="8">
    <w:abstractNumId w:val="3"/>
  </w:num>
  <w:num w:numId="9">
    <w:abstractNumId w:val="19"/>
  </w:num>
  <w:num w:numId="10">
    <w:abstractNumId w:val="5"/>
  </w:num>
  <w:num w:numId="11">
    <w:abstractNumId w:val="10"/>
  </w:num>
  <w:num w:numId="12">
    <w:abstractNumId w:val="11"/>
  </w:num>
  <w:num w:numId="13">
    <w:abstractNumId w:val="14"/>
  </w:num>
  <w:num w:numId="14">
    <w:abstractNumId w:val="8"/>
  </w:num>
  <w:num w:numId="15">
    <w:abstractNumId w:val="1"/>
  </w:num>
  <w:num w:numId="16">
    <w:abstractNumId w:val="18"/>
  </w:num>
  <w:num w:numId="17">
    <w:abstractNumId w:val="16"/>
  </w:num>
  <w:num w:numId="18">
    <w:abstractNumId w:val="4"/>
  </w:num>
  <w:num w:numId="19">
    <w:abstractNumId w:val="9"/>
  </w:num>
  <w:num w:numId="20">
    <w:abstractNumId w:val="16"/>
  </w:num>
  <w:num w:numId="21">
    <w:abstractNumId w:val="16"/>
    <w:lvlOverride w:ilvl="0">
      <w:lvl w:ilvl="0">
        <w:start w:val="1"/>
        <w:numFmt w:val="decimal"/>
        <w:lvlText w:val="%1."/>
        <w:lvlJc w:val="left"/>
        <w:pPr>
          <w:ind w:left="425" w:hanging="357"/>
        </w:pPr>
        <w:rPr>
          <w:rFonts w:hint="default"/>
        </w:rPr>
      </w:lvl>
    </w:lvlOverride>
    <w:lvlOverride w:ilvl="1">
      <w:lvl w:ilvl="1">
        <w:start w:val="1"/>
        <w:numFmt w:val="decimal"/>
        <w:lvlText w:val="%1.%2."/>
        <w:lvlJc w:val="left"/>
        <w:pPr>
          <w:ind w:left="720" w:hanging="357"/>
        </w:pPr>
        <w:rPr>
          <w:rFonts w:hint="default"/>
        </w:rPr>
      </w:lvl>
    </w:lvlOverride>
    <w:lvlOverride w:ilvl="2">
      <w:lvl w:ilvl="2">
        <w:start w:val="1"/>
        <w:numFmt w:val="decimal"/>
        <w:lvlText w:val="%1.%2.%3."/>
        <w:lvlJc w:val="left"/>
        <w:pPr>
          <w:ind w:left="1015" w:hanging="357"/>
        </w:pPr>
        <w:rPr>
          <w:rFonts w:hint="default"/>
        </w:rPr>
      </w:lvl>
    </w:lvlOverride>
    <w:lvlOverride w:ilvl="3">
      <w:lvl w:ilvl="3">
        <w:start w:val="1"/>
        <w:numFmt w:val="decimal"/>
        <w:lvlText w:val="%1.%2.%3.%4."/>
        <w:lvlJc w:val="left"/>
        <w:pPr>
          <w:ind w:left="1310" w:hanging="357"/>
        </w:pPr>
        <w:rPr>
          <w:rFonts w:hint="default"/>
        </w:rPr>
      </w:lvl>
    </w:lvlOverride>
    <w:lvlOverride w:ilvl="4">
      <w:lvl w:ilvl="4">
        <w:start w:val="1"/>
        <w:numFmt w:val="decimal"/>
        <w:lvlText w:val="%1.%2.%3.%4.%5."/>
        <w:lvlJc w:val="left"/>
        <w:pPr>
          <w:ind w:left="1605" w:hanging="357"/>
        </w:pPr>
        <w:rPr>
          <w:rFonts w:hint="default"/>
        </w:rPr>
      </w:lvl>
    </w:lvlOverride>
    <w:lvlOverride w:ilvl="5">
      <w:lvl w:ilvl="5">
        <w:start w:val="1"/>
        <w:numFmt w:val="decimal"/>
        <w:lvlText w:val="%1.%2.%3.%4.%5.%6."/>
        <w:lvlJc w:val="left"/>
        <w:pPr>
          <w:ind w:left="1900" w:hanging="357"/>
        </w:pPr>
        <w:rPr>
          <w:rFonts w:hint="default"/>
        </w:rPr>
      </w:lvl>
    </w:lvlOverride>
    <w:lvlOverride w:ilvl="6">
      <w:lvl w:ilvl="6">
        <w:start w:val="1"/>
        <w:numFmt w:val="decimal"/>
        <w:lvlText w:val="%1.%2.%3.%4.%5.%6.%7."/>
        <w:lvlJc w:val="left"/>
        <w:pPr>
          <w:ind w:left="2195" w:hanging="357"/>
        </w:pPr>
        <w:rPr>
          <w:rFonts w:hint="default"/>
        </w:rPr>
      </w:lvl>
    </w:lvlOverride>
    <w:lvlOverride w:ilvl="7">
      <w:lvl w:ilvl="7">
        <w:start w:val="1"/>
        <w:numFmt w:val="decimal"/>
        <w:lvlText w:val="%1.%2.%3.%4.%5.%6.%7.%8."/>
        <w:lvlJc w:val="left"/>
        <w:pPr>
          <w:ind w:left="2490" w:hanging="357"/>
        </w:pPr>
        <w:rPr>
          <w:rFonts w:hint="default"/>
        </w:rPr>
      </w:lvl>
    </w:lvlOverride>
    <w:lvlOverride w:ilvl="8">
      <w:lvl w:ilvl="8">
        <w:start w:val="1"/>
        <w:numFmt w:val="decimal"/>
        <w:lvlText w:val="%1.%2.%3.%4.%5.%6.%7.%8.%9."/>
        <w:lvlJc w:val="left"/>
        <w:pPr>
          <w:ind w:left="2785" w:hanging="357"/>
        </w:pPr>
        <w:rPr>
          <w:rFonts w:hint="default"/>
        </w:rPr>
      </w:lvl>
    </w:lvlOverride>
  </w:num>
  <w:num w:numId="22">
    <w:abstractNumId w:val="17"/>
  </w:num>
  <w:num w:numId="23">
    <w:abstractNumId w:val="13"/>
  </w:num>
  <w:num w:numId="24">
    <w:abstractNumId w:val="8"/>
  </w:num>
  <w:num w:numId="25">
    <w:abstractNumId w:val="8"/>
  </w:num>
  <w:num w:numId="26">
    <w:abstractNumId w:val="8"/>
  </w:num>
  <w:num w:numId="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06"/>
    <w:rsid w:val="00003314"/>
    <w:rsid w:val="00007541"/>
    <w:rsid w:val="00017821"/>
    <w:rsid w:val="000318C0"/>
    <w:rsid w:val="000673EC"/>
    <w:rsid w:val="00067795"/>
    <w:rsid w:val="00071547"/>
    <w:rsid w:val="00077A32"/>
    <w:rsid w:val="000967BD"/>
    <w:rsid w:val="000A094C"/>
    <w:rsid w:val="000A0B56"/>
    <w:rsid w:val="000B1629"/>
    <w:rsid w:val="000B7D19"/>
    <w:rsid w:val="000C11DF"/>
    <w:rsid w:val="000C3768"/>
    <w:rsid w:val="000D241E"/>
    <w:rsid w:val="000D5783"/>
    <w:rsid w:val="000D6D2E"/>
    <w:rsid w:val="000E24A6"/>
    <w:rsid w:val="000F1F8F"/>
    <w:rsid w:val="000F2714"/>
    <w:rsid w:val="001142DC"/>
    <w:rsid w:val="00116C3C"/>
    <w:rsid w:val="00125FE1"/>
    <w:rsid w:val="00133126"/>
    <w:rsid w:val="001366FC"/>
    <w:rsid w:val="001412BB"/>
    <w:rsid w:val="00152D9F"/>
    <w:rsid w:val="00172D6B"/>
    <w:rsid w:val="0019006D"/>
    <w:rsid w:val="0019357E"/>
    <w:rsid w:val="001A2A76"/>
    <w:rsid w:val="001A691C"/>
    <w:rsid w:val="001B58EE"/>
    <w:rsid w:val="001D7CE7"/>
    <w:rsid w:val="001E660F"/>
    <w:rsid w:val="001F3A29"/>
    <w:rsid w:val="001F3FAF"/>
    <w:rsid w:val="001F5CCF"/>
    <w:rsid w:val="00202741"/>
    <w:rsid w:val="00202765"/>
    <w:rsid w:val="002035E2"/>
    <w:rsid w:val="002047EC"/>
    <w:rsid w:val="00215B97"/>
    <w:rsid w:val="002260F5"/>
    <w:rsid w:val="00236419"/>
    <w:rsid w:val="00270A3B"/>
    <w:rsid w:val="00287DC5"/>
    <w:rsid w:val="002916EF"/>
    <w:rsid w:val="00291851"/>
    <w:rsid w:val="00296FCD"/>
    <w:rsid w:val="002A456E"/>
    <w:rsid w:val="002A64DE"/>
    <w:rsid w:val="002B66AF"/>
    <w:rsid w:val="002C12C8"/>
    <w:rsid w:val="002C33DF"/>
    <w:rsid w:val="002D23DC"/>
    <w:rsid w:val="002F1EF3"/>
    <w:rsid w:val="002F7DFD"/>
    <w:rsid w:val="003146B5"/>
    <w:rsid w:val="00314B71"/>
    <w:rsid w:val="00324AA3"/>
    <w:rsid w:val="00332B3E"/>
    <w:rsid w:val="00342FAF"/>
    <w:rsid w:val="003608FA"/>
    <w:rsid w:val="00366D80"/>
    <w:rsid w:val="00374DC6"/>
    <w:rsid w:val="003A1DFB"/>
    <w:rsid w:val="003A20E5"/>
    <w:rsid w:val="003B3F33"/>
    <w:rsid w:val="003C10C0"/>
    <w:rsid w:val="003C32AE"/>
    <w:rsid w:val="003D17AE"/>
    <w:rsid w:val="003D1A0E"/>
    <w:rsid w:val="003D4C24"/>
    <w:rsid w:val="004056E2"/>
    <w:rsid w:val="00421ADF"/>
    <w:rsid w:val="004246BF"/>
    <w:rsid w:val="00426290"/>
    <w:rsid w:val="00436862"/>
    <w:rsid w:val="00440D82"/>
    <w:rsid w:val="0045554E"/>
    <w:rsid w:val="00463EAA"/>
    <w:rsid w:val="00467374"/>
    <w:rsid w:val="00482335"/>
    <w:rsid w:val="00485FF4"/>
    <w:rsid w:val="004933FC"/>
    <w:rsid w:val="004A07D1"/>
    <w:rsid w:val="004B580B"/>
    <w:rsid w:val="004C192F"/>
    <w:rsid w:val="004C37FF"/>
    <w:rsid w:val="004D7B02"/>
    <w:rsid w:val="004E0094"/>
    <w:rsid w:val="004E325F"/>
    <w:rsid w:val="00503A1E"/>
    <w:rsid w:val="005054C9"/>
    <w:rsid w:val="00507D02"/>
    <w:rsid w:val="00510961"/>
    <w:rsid w:val="00511889"/>
    <w:rsid w:val="0052524F"/>
    <w:rsid w:val="005530B8"/>
    <w:rsid w:val="00572195"/>
    <w:rsid w:val="00597914"/>
    <w:rsid w:val="005A3884"/>
    <w:rsid w:val="005B232A"/>
    <w:rsid w:val="005B33B9"/>
    <w:rsid w:val="005B71C1"/>
    <w:rsid w:val="005D04DC"/>
    <w:rsid w:val="005E40EF"/>
    <w:rsid w:val="005E5CD8"/>
    <w:rsid w:val="005F66D5"/>
    <w:rsid w:val="00612984"/>
    <w:rsid w:val="006211AD"/>
    <w:rsid w:val="00631FD4"/>
    <w:rsid w:val="00634617"/>
    <w:rsid w:val="00637DEC"/>
    <w:rsid w:val="006533F0"/>
    <w:rsid w:val="0065552E"/>
    <w:rsid w:val="006732D9"/>
    <w:rsid w:val="006778FA"/>
    <w:rsid w:val="006927EC"/>
    <w:rsid w:val="0069350B"/>
    <w:rsid w:val="00695CD3"/>
    <w:rsid w:val="006A30DE"/>
    <w:rsid w:val="006B361B"/>
    <w:rsid w:val="006B4A49"/>
    <w:rsid w:val="006B5551"/>
    <w:rsid w:val="006C234E"/>
    <w:rsid w:val="006C6E69"/>
    <w:rsid w:val="006D2753"/>
    <w:rsid w:val="006D539B"/>
    <w:rsid w:val="006E0E5B"/>
    <w:rsid w:val="006E2E74"/>
    <w:rsid w:val="00714173"/>
    <w:rsid w:val="00714A73"/>
    <w:rsid w:val="007230A2"/>
    <w:rsid w:val="00726765"/>
    <w:rsid w:val="007268CB"/>
    <w:rsid w:val="00733FA7"/>
    <w:rsid w:val="00742F66"/>
    <w:rsid w:val="00750B22"/>
    <w:rsid w:val="0075269D"/>
    <w:rsid w:val="00763C9E"/>
    <w:rsid w:val="00764CB0"/>
    <w:rsid w:val="00771799"/>
    <w:rsid w:val="00772B47"/>
    <w:rsid w:val="00774222"/>
    <w:rsid w:val="00777B6A"/>
    <w:rsid w:val="00780F3D"/>
    <w:rsid w:val="007A2D6F"/>
    <w:rsid w:val="007A3FF1"/>
    <w:rsid w:val="007C0F8E"/>
    <w:rsid w:val="007D6BE4"/>
    <w:rsid w:val="007F716D"/>
    <w:rsid w:val="00805275"/>
    <w:rsid w:val="008067AD"/>
    <w:rsid w:val="00811D25"/>
    <w:rsid w:val="00816B82"/>
    <w:rsid w:val="00817780"/>
    <w:rsid w:val="00825790"/>
    <w:rsid w:val="008347DB"/>
    <w:rsid w:val="00871135"/>
    <w:rsid w:val="00880C08"/>
    <w:rsid w:val="008B19CC"/>
    <w:rsid w:val="008B64F5"/>
    <w:rsid w:val="008C1DBC"/>
    <w:rsid w:val="008D6B1F"/>
    <w:rsid w:val="008D76FD"/>
    <w:rsid w:val="008E4AD3"/>
    <w:rsid w:val="008F2357"/>
    <w:rsid w:val="00910BCE"/>
    <w:rsid w:val="00912B22"/>
    <w:rsid w:val="00922AC4"/>
    <w:rsid w:val="00927D43"/>
    <w:rsid w:val="00932082"/>
    <w:rsid w:val="00935206"/>
    <w:rsid w:val="009770AE"/>
    <w:rsid w:val="00990827"/>
    <w:rsid w:val="00990C44"/>
    <w:rsid w:val="009A1CC2"/>
    <w:rsid w:val="009B7EFF"/>
    <w:rsid w:val="009C5EA1"/>
    <w:rsid w:val="009C7835"/>
    <w:rsid w:val="009D2C29"/>
    <w:rsid w:val="009E0337"/>
    <w:rsid w:val="009E483F"/>
    <w:rsid w:val="009E7093"/>
    <w:rsid w:val="009E77FB"/>
    <w:rsid w:val="009F5F37"/>
    <w:rsid w:val="00A11036"/>
    <w:rsid w:val="00A151CD"/>
    <w:rsid w:val="00A3522E"/>
    <w:rsid w:val="00A44015"/>
    <w:rsid w:val="00A52881"/>
    <w:rsid w:val="00A52DE2"/>
    <w:rsid w:val="00A57581"/>
    <w:rsid w:val="00A75456"/>
    <w:rsid w:val="00A82B22"/>
    <w:rsid w:val="00A9547A"/>
    <w:rsid w:val="00AA157D"/>
    <w:rsid w:val="00AA16AB"/>
    <w:rsid w:val="00AA4CFC"/>
    <w:rsid w:val="00AA58D0"/>
    <w:rsid w:val="00AB1266"/>
    <w:rsid w:val="00AD3125"/>
    <w:rsid w:val="00AD4C07"/>
    <w:rsid w:val="00AE0348"/>
    <w:rsid w:val="00AE4130"/>
    <w:rsid w:val="00B01390"/>
    <w:rsid w:val="00B0742F"/>
    <w:rsid w:val="00B1058D"/>
    <w:rsid w:val="00B119D3"/>
    <w:rsid w:val="00B16692"/>
    <w:rsid w:val="00B24B64"/>
    <w:rsid w:val="00B3201F"/>
    <w:rsid w:val="00B404B4"/>
    <w:rsid w:val="00B46DC5"/>
    <w:rsid w:val="00B56381"/>
    <w:rsid w:val="00B62BE5"/>
    <w:rsid w:val="00B87D77"/>
    <w:rsid w:val="00B93123"/>
    <w:rsid w:val="00B940D6"/>
    <w:rsid w:val="00BA5CB2"/>
    <w:rsid w:val="00BC2532"/>
    <w:rsid w:val="00BC5820"/>
    <w:rsid w:val="00BE16FE"/>
    <w:rsid w:val="00BF57F0"/>
    <w:rsid w:val="00BF7A84"/>
    <w:rsid w:val="00C03BC0"/>
    <w:rsid w:val="00C06F00"/>
    <w:rsid w:val="00C104DD"/>
    <w:rsid w:val="00C13025"/>
    <w:rsid w:val="00C136B7"/>
    <w:rsid w:val="00C5629F"/>
    <w:rsid w:val="00C76994"/>
    <w:rsid w:val="00C86320"/>
    <w:rsid w:val="00C92C77"/>
    <w:rsid w:val="00CB7A9B"/>
    <w:rsid w:val="00CC0AB8"/>
    <w:rsid w:val="00CC465B"/>
    <w:rsid w:val="00CC5495"/>
    <w:rsid w:val="00CD45BE"/>
    <w:rsid w:val="00CE0DDD"/>
    <w:rsid w:val="00CE25A1"/>
    <w:rsid w:val="00CE27BA"/>
    <w:rsid w:val="00CF65E7"/>
    <w:rsid w:val="00D226C6"/>
    <w:rsid w:val="00D2370C"/>
    <w:rsid w:val="00D35BAA"/>
    <w:rsid w:val="00D40570"/>
    <w:rsid w:val="00D6233E"/>
    <w:rsid w:val="00D63443"/>
    <w:rsid w:val="00D9071C"/>
    <w:rsid w:val="00D93B3D"/>
    <w:rsid w:val="00D947D0"/>
    <w:rsid w:val="00DA3E5D"/>
    <w:rsid w:val="00DA7120"/>
    <w:rsid w:val="00DB1F9E"/>
    <w:rsid w:val="00DD1716"/>
    <w:rsid w:val="00DD213D"/>
    <w:rsid w:val="00DD5C89"/>
    <w:rsid w:val="00DD5C99"/>
    <w:rsid w:val="00DE47A7"/>
    <w:rsid w:val="00DF3117"/>
    <w:rsid w:val="00E10C00"/>
    <w:rsid w:val="00E127FF"/>
    <w:rsid w:val="00E177F6"/>
    <w:rsid w:val="00E356C5"/>
    <w:rsid w:val="00E3612C"/>
    <w:rsid w:val="00E50767"/>
    <w:rsid w:val="00E703F2"/>
    <w:rsid w:val="00E750DD"/>
    <w:rsid w:val="00E83B08"/>
    <w:rsid w:val="00E9048F"/>
    <w:rsid w:val="00E95864"/>
    <w:rsid w:val="00E97690"/>
    <w:rsid w:val="00EA3B32"/>
    <w:rsid w:val="00EA3DFB"/>
    <w:rsid w:val="00EA7015"/>
    <w:rsid w:val="00EB28CF"/>
    <w:rsid w:val="00EB75B6"/>
    <w:rsid w:val="00EC0491"/>
    <w:rsid w:val="00ED26BA"/>
    <w:rsid w:val="00ED4771"/>
    <w:rsid w:val="00ED4D45"/>
    <w:rsid w:val="00EE08F8"/>
    <w:rsid w:val="00EE7AB9"/>
    <w:rsid w:val="00EF04AB"/>
    <w:rsid w:val="00EF2E07"/>
    <w:rsid w:val="00EF469C"/>
    <w:rsid w:val="00F14418"/>
    <w:rsid w:val="00F20C18"/>
    <w:rsid w:val="00F20F47"/>
    <w:rsid w:val="00F36F7A"/>
    <w:rsid w:val="00F63545"/>
    <w:rsid w:val="00F67372"/>
    <w:rsid w:val="00F705F8"/>
    <w:rsid w:val="00F8426D"/>
    <w:rsid w:val="00F847DC"/>
    <w:rsid w:val="00F84EC2"/>
    <w:rsid w:val="00F93AF5"/>
    <w:rsid w:val="00FC1251"/>
    <w:rsid w:val="00FC2757"/>
    <w:rsid w:val="00FC39FE"/>
    <w:rsid w:val="00FC7D2F"/>
    <w:rsid w:val="00FD2788"/>
    <w:rsid w:val="00FD4F1E"/>
    <w:rsid w:val="00FE4A27"/>
    <w:rsid w:val="00FF1BED"/>
    <w:rsid w:val="00FF48C6"/>
    <w:rsid w:val="00FF6511"/>
    <w:rsid w:val="328724C4"/>
    <w:rsid w:val="354BCAB6"/>
    <w:rsid w:val="56BE6496"/>
    <w:rsid w:val="5A31A04A"/>
    <w:rsid w:val="74549724"/>
    <w:rsid w:val="786B46B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8D0CD7"/>
  <w15:docId w15:val="{3F411BC0-5F75-41EF-B7F9-96D482F2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0DD"/>
    <w:rPr>
      <w:lang w:val="fr-FR"/>
    </w:rPr>
  </w:style>
  <w:style w:type="paragraph" w:styleId="Titre1">
    <w:name w:val="heading 1"/>
    <w:basedOn w:val="Normal"/>
    <w:next w:val="Normal"/>
    <w:link w:val="Titre1Car"/>
    <w:autoRedefine/>
    <w:uiPriority w:val="9"/>
    <w:qFormat/>
    <w:rsid w:val="00811D25"/>
    <w:pPr>
      <w:keepNext/>
      <w:keepLines/>
      <w:numPr>
        <w:numId w:val="14"/>
      </w:numPr>
      <w:spacing w:before="200" w:after="0"/>
      <w:outlineLvl w:val="0"/>
    </w:pPr>
    <w:rPr>
      <w:rFonts w:asciiTheme="majorHAnsi" w:eastAsia="Times New Roman" w:hAnsiTheme="majorHAnsi" w:cstheme="majorHAnsi"/>
      <w:b/>
      <w:bCs/>
      <w:color w:val="2F759E"/>
      <w:sz w:val="28"/>
      <w:szCs w:val="28"/>
      <w:lang w:eastAsia="en-US"/>
    </w:rPr>
  </w:style>
  <w:style w:type="paragraph" w:styleId="Titre2">
    <w:name w:val="heading 2"/>
    <w:basedOn w:val="Titre1"/>
    <w:next w:val="Texte"/>
    <w:link w:val="Titre2Car"/>
    <w:autoRedefine/>
    <w:uiPriority w:val="9"/>
    <w:unhideWhenUsed/>
    <w:qFormat/>
    <w:rsid w:val="00811D25"/>
    <w:pPr>
      <w:numPr>
        <w:ilvl w:val="1"/>
      </w:numPr>
      <w:ind w:left="788" w:hanging="431"/>
      <w:outlineLvl w:val="1"/>
    </w:pPr>
    <w:rPr>
      <w:sz w:val="24"/>
      <w:szCs w:val="24"/>
    </w:rPr>
  </w:style>
  <w:style w:type="paragraph" w:styleId="Titre3">
    <w:name w:val="heading 3"/>
    <w:basedOn w:val="Titre2"/>
    <w:next w:val="Normal"/>
    <w:link w:val="Titre3Car"/>
    <w:autoRedefine/>
    <w:uiPriority w:val="9"/>
    <w:unhideWhenUsed/>
    <w:qFormat/>
    <w:rsid w:val="001F3FAF"/>
    <w:pPr>
      <w:numPr>
        <w:ilvl w:val="2"/>
      </w:numPr>
      <w:outlineLvl w:val="2"/>
    </w:pPr>
    <w:rPr>
      <w:sz w:val="22"/>
      <w:szCs w:val="22"/>
    </w:rPr>
  </w:style>
  <w:style w:type="paragraph" w:styleId="Titre4">
    <w:name w:val="heading 4"/>
    <w:basedOn w:val="Normal"/>
    <w:next w:val="Normal"/>
    <w:link w:val="Titre4Car"/>
    <w:uiPriority w:val="9"/>
    <w:semiHidden/>
    <w:unhideWhenUsed/>
    <w:qFormat/>
    <w:rsid w:val="005A3884"/>
    <w:pPr>
      <w:keepNext/>
      <w:keepLines/>
      <w:spacing w:before="40" w:after="0"/>
      <w:outlineLvl w:val="3"/>
    </w:pPr>
    <w:rPr>
      <w:rFonts w:asciiTheme="majorHAnsi" w:eastAsiaTheme="majorEastAsia" w:hAnsiTheme="majorHAnsi" w:cstheme="majorBidi"/>
      <w:i/>
      <w:iCs/>
      <w:color w:val="365F91" w:themeColor="accent1" w:themeShade="BF"/>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5206"/>
    <w:pPr>
      <w:tabs>
        <w:tab w:val="center" w:pos="4703"/>
        <w:tab w:val="right" w:pos="9406"/>
      </w:tabs>
      <w:spacing w:after="0"/>
    </w:pPr>
  </w:style>
  <w:style w:type="character" w:customStyle="1" w:styleId="En-tteCar">
    <w:name w:val="En-tête Car"/>
    <w:basedOn w:val="Policepardfaut"/>
    <w:link w:val="En-tte"/>
    <w:uiPriority w:val="99"/>
    <w:rsid w:val="00935206"/>
  </w:style>
  <w:style w:type="paragraph" w:styleId="Pieddepage">
    <w:name w:val="footer"/>
    <w:basedOn w:val="Normal"/>
    <w:link w:val="PieddepageCar"/>
    <w:uiPriority w:val="99"/>
    <w:unhideWhenUsed/>
    <w:rsid w:val="00935206"/>
    <w:pPr>
      <w:tabs>
        <w:tab w:val="center" w:pos="4703"/>
        <w:tab w:val="right" w:pos="9406"/>
      </w:tabs>
      <w:spacing w:after="0"/>
    </w:pPr>
  </w:style>
  <w:style w:type="character" w:customStyle="1" w:styleId="PieddepageCar">
    <w:name w:val="Pied de page Car"/>
    <w:basedOn w:val="Policepardfaut"/>
    <w:link w:val="Pieddepage"/>
    <w:uiPriority w:val="99"/>
    <w:rsid w:val="00935206"/>
  </w:style>
  <w:style w:type="table" w:styleId="Trameclaire-Accent1">
    <w:name w:val="Light Shading Accent 1"/>
    <w:basedOn w:val="TableauNormal"/>
    <w:uiPriority w:val="60"/>
    <w:rsid w:val="00935206"/>
    <w:pPr>
      <w:spacing w:after="0"/>
    </w:pPr>
    <w:rPr>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edebulles">
    <w:name w:val="Balloon Text"/>
    <w:basedOn w:val="Normal"/>
    <w:link w:val="TextedebullesCar"/>
    <w:uiPriority w:val="99"/>
    <w:semiHidden/>
    <w:unhideWhenUsed/>
    <w:rsid w:val="00935206"/>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35206"/>
    <w:rPr>
      <w:rFonts w:ascii="Lucida Grande" w:hAnsi="Lucida Grande" w:cs="Lucida Grande"/>
      <w:sz w:val="18"/>
      <w:szCs w:val="18"/>
    </w:rPr>
  </w:style>
  <w:style w:type="paragraph" w:customStyle="1" w:styleId="Paragraphestandard">
    <w:name w:val="[Paragraphe standard]"/>
    <w:basedOn w:val="Normal"/>
    <w:uiPriority w:val="99"/>
    <w:rsid w:val="009C5EA1"/>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9C5EA1"/>
    <w:rPr>
      <w:color w:val="0000FF" w:themeColor="hyperlink"/>
      <w:u w:val="single"/>
    </w:rPr>
  </w:style>
  <w:style w:type="paragraph" w:customStyle="1" w:styleId="Titre11">
    <w:name w:val="Titre 11"/>
    <w:basedOn w:val="Normal"/>
    <w:next w:val="Normal"/>
    <w:uiPriority w:val="9"/>
    <w:qFormat/>
    <w:rsid w:val="009E0337"/>
    <w:pPr>
      <w:keepNext/>
      <w:keepLines/>
      <w:pBdr>
        <w:top w:val="nil"/>
        <w:left w:val="nil"/>
        <w:bottom w:val="nil"/>
        <w:right w:val="nil"/>
        <w:between w:val="nil"/>
        <w:bar w:val="nil"/>
      </w:pBdr>
      <w:spacing w:before="480" w:after="0"/>
      <w:outlineLvl w:val="0"/>
    </w:pPr>
    <w:rPr>
      <w:rFonts w:ascii="Helvetica" w:eastAsia="Times New Roman" w:hAnsi="Helvetica" w:cs="Times New Roman"/>
      <w:b/>
      <w:bCs/>
      <w:color w:val="2F759E"/>
      <w:sz w:val="28"/>
      <w:szCs w:val="28"/>
      <w:bdr w:val="nil"/>
      <w:lang w:val="en-US" w:eastAsia="en-US"/>
    </w:rPr>
  </w:style>
  <w:style w:type="paragraph" w:customStyle="1" w:styleId="Titre31">
    <w:name w:val="Titre 31"/>
    <w:basedOn w:val="Normal"/>
    <w:next w:val="Normal"/>
    <w:uiPriority w:val="9"/>
    <w:unhideWhenUsed/>
    <w:qFormat/>
    <w:rsid w:val="009E0337"/>
    <w:pPr>
      <w:keepNext/>
      <w:keepLines/>
      <w:pBdr>
        <w:top w:val="nil"/>
        <w:left w:val="nil"/>
        <w:bottom w:val="nil"/>
        <w:right w:val="nil"/>
        <w:between w:val="nil"/>
        <w:bar w:val="nil"/>
      </w:pBdr>
      <w:spacing w:before="200" w:after="0"/>
      <w:outlineLvl w:val="2"/>
    </w:pPr>
    <w:rPr>
      <w:rFonts w:ascii="Helvetica" w:eastAsia="Times New Roman" w:hAnsi="Helvetica" w:cs="Times New Roman"/>
      <w:b/>
      <w:bCs/>
      <w:color w:val="499BC9"/>
      <w:bdr w:val="nil"/>
      <w:lang w:val="en-US" w:eastAsia="en-US"/>
    </w:rPr>
  </w:style>
  <w:style w:type="character" w:customStyle="1" w:styleId="Titre1Car">
    <w:name w:val="Titre 1 Car"/>
    <w:basedOn w:val="Policepardfaut"/>
    <w:link w:val="Titre1"/>
    <w:uiPriority w:val="9"/>
    <w:rsid w:val="00811D25"/>
    <w:rPr>
      <w:rFonts w:asciiTheme="majorHAnsi" w:eastAsia="Times New Roman" w:hAnsiTheme="majorHAnsi" w:cstheme="majorHAnsi"/>
      <w:b/>
      <w:bCs/>
      <w:color w:val="2F759E"/>
      <w:sz w:val="28"/>
      <w:szCs w:val="28"/>
      <w:lang w:val="fr-FR" w:eastAsia="en-US"/>
    </w:rPr>
  </w:style>
  <w:style w:type="character" w:customStyle="1" w:styleId="Titre3Car">
    <w:name w:val="Titre 3 Car"/>
    <w:basedOn w:val="Policepardfaut"/>
    <w:link w:val="Titre3"/>
    <w:uiPriority w:val="9"/>
    <w:rsid w:val="001F3FAF"/>
    <w:rPr>
      <w:rFonts w:asciiTheme="majorHAnsi" w:eastAsia="Times New Roman" w:hAnsiTheme="majorHAnsi" w:cstheme="majorHAnsi"/>
      <w:b/>
      <w:bCs/>
      <w:color w:val="2F759E"/>
      <w:sz w:val="22"/>
      <w:szCs w:val="22"/>
      <w:lang w:val="fr-FR" w:eastAsia="en-US"/>
    </w:rPr>
  </w:style>
  <w:style w:type="numbering" w:customStyle="1" w:styleId="Puce">
    <w:name w:val="Puce"/>
    <w:rsid w:val="009E0337"/>
    <w:pPr>
      <w:numPr>
        <w:numId w:val="1"/>
      </w:numPr>
    </w:pPr>
  </w:style>
  <w:style w:type="character" w:customStyle="1" w:styleId="Hyperlink0">
    <w:name w:val="Hyperlink.0"/>
    <w:basedOn w:val="Policepardfaut"/>
    <w:rsid w:val="009E0337"/>
    <w:rPr>
      <w:color w:val="0432FF"/>
      <w:u w:val="single"/>
    </w:rPr>
  </w:style>
  <w:style w:type="character" w:customStyle="1" w:styleId="Titre1Car1">
    <w:name w:val="Titre 1 Car1"/>
    <w:basedOn w:val="Policepardfaut"/>
    <w:uiPriority w:val="9"/>
    <w:rsid w:val="009E0337"/>
    <w:rPr>
      <w:rFonts w:asciiTheme="majorHAnsi" w:eastAsiaTheme="majorEastAsia" w:hAnsiTheme="majorHAnsi" w:cstheme="majorBidi"/>
      <w:b/>
      <w:bCs/>
      <w:color w:val="365F91" w:themeColor="accent1" w:themeShade="BF"/>
      <w:sz w:val="28"/>
      <w:szCs w:val="28"/>
    </w:rPr>
  </w:style>
  <w:style w:type="character" w:customStyle="1" w:styleId="Titre3Car1">
    <w:name w:val="Titre 3 Car1"/>
    <w:basedOn w:val="Policepardfaut"/>
    <w:uiPriority w:val="9"/>
    <w:semiHidden/>
    <w:rsid w:val="009E0337"/>
    <w:rPr>
      <w:rFonts w:asciiTheme="majorHAnsi" w:eastAsiaTheme="majorEastAsia" w:hAnsiTheme="majorHAnsi" w:cstheme="majorBidi"/>
      <w:b/>
      <w:bCs/>
      <w:color w:val="4F81BD" w:themeColor="accent1"/>
    </w:rPr>
  </w:style>
  <w:style w:type="character" w:customStyle="1" w:styleId="Titre2Car">
    <w:name w:val="Titre 2 Car"/>
    <w:basedOn w:val="Policepardfaut"/>
    <w:link w:val="Titre2"/>
    <w:uiPriority w:val="9"/>
    <w:rsid w:val="00811D25"/>
    <w:rPr>
      <w:rFonts w:asciiTheme="majorHAnsi" w:eastAsia="Times New Roman" w:hAnsiTheme="majorHAnsi" w:cstheme="majorHAnsi"/>
      <w:b/>
      <w:bCs/>
      <w:color w:val="2F759E"/>
      <w:lang w:val="fr-FR" w:eastAsia="en-US"/>
    </w:rPr>
  </w:style>
  <w:style w:type="paragraph" w:styleId="Paragraphedeliste">
    <w:name w:val="List Paragraph"/>
    <w:basedOn w:val="Normal"/>
    <w:uiPriority w:val="34"/>
    <w:qFormat/>
    <w:rsid w:val="006D2753"/>
    <w:pPr>
      <w:ind w:left="720"/>
      <w:contextualSpacing/>
    </w:pPr>
  </w:style>
  <w:style w:type="table" w:styleId="Grilledutableau">
    <w:name w:val="Table Grid"/>
    <w:basedOn w:val="TableauNormal"/>
    <w:uiPriority w:val="59"/>
    <w:rsid w:val="004246BF"/>
    <w:pPr>
      <w:spacing w:after="0"/>
    </w:pPr>
    <w:rPr>
      <w:rFonts w:eastAsiaTheme="minorHAns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B75B6"/>
    <w:pPr>
      <w:spacing w:after="0"/>
    </w:pPr>
    <w:rPr>
      <w:sz w:val="20"/>
      <w:szCs w:val="20"/>
    </w:rPr>
  </w:style>
  <w:style w:type="character" w:customStyle="1" w:styleId="NotedebasdepageCar">
    <w:name w:val="Note de bas de page Car"/>
    <w:basedOn w:val="Policepardfaut"/>
    <w:link w:val="Notedebasdepage"/>
    <w:uiPriority w:val="99"/>
    <w:semiHidden/>
    <w:rsid w:val="00EB75B6"/>
    <w:rPr>
      <w:sz w:val="20"/>
      <w:szCs w:val="20"/>
    </w:rPr>
  </w:style>
  <w:style w:type="character" w:styleId="Appelnotedebasdep">
    <w:name w:val="footnote reference"/>
    <w:basedOn w:val="Policepardfaut"/>
    <w:uiPriority w:val="99"/>
    <w:semiHidden/>
    <w:unhideWhenUsed/>
    <w:rsid w:val="00EB75B6"/>
    <w:rPr>
      <w:vertAlign w:val="superscript"/>
    </w:rPr>
  </w:style>
  <w:style w:type="paragraph" w:styleId="Notedefin">
    <w:name w:val="endnote text"/>
    <w:basedOn w:val="Normal"/>
    <w:link w:val="NotedefinCar"/>
    <w:uiPriority w:val="99"/>
    <w:semiHidden/>
    <w:unhideWhenUsed/>
    <w:rsid w:val="009E7093"/>
    <w:pPr>
      <w:spacing w:after="0"/>
    </w:pPr>
    <w:rPr>
      <w:sz w:val="20"/>
      <w:szCs w:val="20"/>
    </w:rPr>
  </w:style>
  <w:style w:type="character" w:customStyle="1" w:styleId="NotedefinCar">
    <w:name w:val="Note de fin Car"/>
    <w:basedOn w:val="Policepardfaut"/>
    <w:link w:val="Notedefin"/>
    <w:uiPriority w:val="99"/>
    <w:semiHidden/>
    <w:rsid w:val="009E7093"/>
    <w:rPr>
      <w:sz w:val="20"/>
      <w:szCs w:val="20"/>
    </w:rPr>
  </w:style>
  <w:style w:type="character" w:styleId="Appeldenotedefin">
    <w:name w:val="endnote reference"/>
    <w:basedOn w:val="Policepardfaut"/>
    <w:uiPriority w:val="99"/>
    <w:semiHidden/>
    <w:unhideWhenUsed/>
    <w:rsid w:val="009E7093"/>
    <w:rPr>
      <w:vertAlign w:val="superscript"/>
    </w:rPr>
  </w:style>
  <w:style w:type="character" w:styleId="Marquedecommentaire">
    <w:name w:val="annotation reference"/>
    <w:basedOn w:val="Policepardfaut"/>
    <w:uiPriority w:val="99"/>
    <w:semiHidden/>
    <w:unhideWhenUsed/>
    <w:rsid w:val="003146B5"/>
    <w:rPr>
      <w:sz w:val="18"/>
      <w:szCs w:val="18"/>
    </w:rPr>
  </w:style>
  <w:style w:type="paragraph" w:styleId="Commentaire">
    <w:name w:val="annotation text"/>
    <w:basedOn w:val="Normal"/>
    <w:link w:val="CommentaireCar"/>
    <w:uiPriority w:val="99"/>
    <w:semiHidden/>
    <w:unhideWhenUsed/>
    <w:rsid w:val="003146B5"/>
  </w:style>
  <w:style w:type="character" w:customStyle="1" w:styleId="CommentaireCar">
    <w:name w:val="Commentaire Car"/>
    <w:basedOn w:val="Policepardfaut"/>
    <w:link w:val="Commentaire"/>
    <w:uiPriority w:val="99"/>
    <w:semiHidden/>
    <w:rsid w:val="003146B5"/>
  </w:style>
  <w:style w:type="paragraph" w:styleId="Objetducommentaire">
    <w:name w:val="annotation subject"/>
    <w:basedOn w:val="Commentaire"/>
    <w:next w:val="Commentaire"/>
    <w:link w:val="ObjetducommentaireCar"/>
    <w:uiPriority w:val="99"/>
    <w:semiHidden/>
    <w:unhideWhenUsed/>
    <w:rsid w:val="003146B5"/>
    <w:rPr>
      <w:b/>
      <w:bCs/>
      <w:sz w:val="20"/>
      <w:szCs w:val="20"/>
    </w:rPr>
  </w:style>
  <w:style w:type="character" w:customStyle="1" w:styleId="ObjetducommentaireCar">
    <w:name w:val="Objet du commentaire Car"/>
    <w:basedOn w:val="CommentaireCar"/>
    <w:link w:val="Objetducommentaire"/>
    <w:uiPriority w:val="99"/>
    <w:semiHidden/>
    <w:rsid w:val="003146B5"/>
    <w:rPr>
      <w:b/>
      <w:bCs/>
      <w:sz w:val="20"/>
      <w:szCs w:val="20"/>
    </w:rPr>
  </w:style>
  <w:style w:type="paragraph" w:customStyle="1" w:styleId="Texte">
    <w:name w:val="Texte"/>
    <w:link w:val="TexteCar"/>
    <w:autoRedefine/>
    <w:qFormat/>
    <w:rsid w:val="00774222"/>
    <w:pPr>
      <w:spacing w:before="100" w:after="0"/>
      <w:jc w:val="both"/>
    </w:pPr>
    <w:rPr>
      <w:rFonts w:asciiTheme="majorHAnsi" w:hAnsiTheme="majorHAnsi"/>
      <w:lang w:val="fr-FR" w:eastAsia="en-US"/>
    </w:rPr>
  </w:style>
  <w:style w:type="character" w:customStyle="1" w:styleId="TexteCar">
    <w:name w:val="Texte Car"/>
    <w:basedOn w:val="Policepardfaut"/>
    <w:link w:val="Texte"/>
    <w:rsid w:val="00774222"/>
    <w:rPr>
      <w:rFonts w:asciiTheme="majorHAnsi" w:hAnsiTheme="majorHAnsi"/>
      <w:lang w:val="fr-FR" w:eastAsia="en-US"/>
    </w:rPr>
  </w:style>
  <w:style w:type="paragraph" w:customStyle="1" w:styleId="Tiret">
    <w:name w:val="Tiret"/>
    <w:basedOn w:val="Texte"/>
    <w:next w:val="Texte"/>
    <w:link w:val="TiretCar"/>
    <w:autoRedefine/>
    <w:qFormat/>
    <w:rsid w:val="00F14418"/>
    <w:pPr>
      <w:numPr>
        <w:numId w:val="13"/>
      </w:numPr>
      <w:ind w:left="567"/>
    </w:pPr>
  </w:style>
  <w:style w:type="character" w:customStyle="1" w:styleId="TiretCar">
    <w:name w:val="Tiret Car"/>
    <w:basedOn w:val="TexteCar"/>
    <w:link w:val="Tiret"/>
    <w:rsid w:val="00F14418"/>
    <w:rPr>
      <w:rFonts w:asciiTheme="majorHAnsi" w:hAnsiTheme="majorHAnsi"/>
      <w:lang w:val="fr-FR" w:eastAsia="en-US"/>
    </w:rPr>
  </w:style>
  <w:style w:type="paragraph" w:customStyle="1" w:styleId="Style1">
    <w:name w:val="Style1"/>
    <w:basedOn w:val="Titre2"/>
    <w:next w:val="Texte"/>
    <w:qFormat/>
    <w:rsid w:val="00817780"/>
    <w:pPr>
      <w:numPr>
        <w:numId w:val="0"/>
      </w:numPr>
    </w:pPr>
  </w:style>
  <w:style w:type="character" w:customStyle="1" w:styleId="Titre4Car">
    <w:name w:val="Titre 4 Car"/>
    <w:basedOn w:val="Policepardfaut"/>
    <w:link w:val="Titre4"/>
    <w:uiPriority w:val="9"/>
    <w:semiHidden/>
    <w:rsid w:val="005A388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826836">
      <w:bodyDiv w:val="1"/>
      <w:marLeft w:val="0"/>
      <w:marRight w:val="0"/>
      <w:marTop w:val="0"/>
      <w:marBottom w:val="0"/>
      <w:divBdr>
        <w:top w:val="none" w:sz="0" w:space="0" w:color="auto"/>
        <w:left w:val="none" w:sz="0" w:space="0" w:color="auto"/>
        <w:bottom w:val="none" w:sz="0" w:space="0" w:color="auto"/>
        <w:right w:val="none" w:sz="0" w:space="0" w:color="auto"/>
      </w:divBdr>
    </w:div>
    <w:div w:id="1257901144">
      <w:bodyDiv w:val="1"/>
      <w:marLeft w:val="0"/>
      <w:marRight w:val="0"/>
      <w:marTop w:val="0"/>
      <w:marBottom w:val="0"/>
      <w:divBdr>
        <w:top w:val="none" w:sz="0" w:space="0" w:color="auto"/>
        <w:left w:val="none" w:sz="0" w:space="0" w:color="auto"/>
        <w:bottom w:val="none" w:sz="0" w:space="0" w:color="auto"/>
        <w:right w:val="none" w:sz="0" w:space="0" w:color="auto"/>
      </w:divBdr>
    </w:div>
    <w:div w:id="139061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spn.fr/amenagement-des-etu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B9F800C80A941A2045F5953EE8747" ma:contentTypeVersion="4" ma:contentTypeDescription="Crée un document." ma:contentTypeScope="" ma:versionID="cc3730341ee350cc57b3561b3224b80c">
  <xsd:schema xmlns:xsd="http://www.w3.org/2001/XMLSchema" xmlns:xs="http://www.w3.org/2001/XMLSchema" xmlns:p="http://schemas.microsoft.com/office/2006/metadata/properties" xmlns:ns2="3c339d15-3ee8-40e4-b35c-00fab304ede9" targetNamespace="http://schemas.microsoft.com/office/2006/metadata/properties" ma:root="true" ma:fieldsID="0b544ef838188298fab60564b2c13408" ns2:_="">
    <xsd:import namespace="3c339d15-3ee8-40e4-b35c-00fab304e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39d15-3ee8-40e4-b35c-00fab304e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3E8E9-9ABC-4371-A1B9-223D5FBEB8A4}">
  <ds:schemaRefs>
    <ds:schemaRef ds:uri="http://schemas.openxmlformats.org/officeDocument/2006/bibliography"/>
  </ds:schemaRefs>
</ds:datastoreItem>
</file>

<file path=customXml/itemProps2.xml><?xml version="1.0" encoding="utf-8"?>
<ds:datastoreItem xmlns:ds="http://schemas.openxmlformats.org/officeDocument/2006/customXml" ds:itemID="{51C45F0D-B72B-461D-AADF-D248F538FCC0}"/>
</file>

<file path=customXml/itemProps3.xml><?xml version="1.0" encoding="utf-8"?>
<ds:datastoreItem xmlns:ds="http://schemas.openxmlformats.org/officeDocument/2006/customXml" ds:itemID="{EFB6FE37-CD32-44BA-B92D-D137FBC6D5CE}"/>
</file>

<file path=customXml/itemProps4.xml><?xml version="1.0" encoding="utf-8"?>
<ds:datastoreItem xmlns:ds="http://schemas.openxmlformats.org/officeDocument/2006/customXml" ds:itemID="{8F668EDC-C266-4843-91E3-E0B2C2ED253E}"/>
</file>

<file path=docProps/app.xml><?xml version="1.0" encoding="utf-8"?>
<Properties xmlns="http://schemas.openxmlformats.org/officeDocument/2006/extended-properties" xmlns:vt="http://schemas.openxmlformats.org/officeDocument/2006/docPropsVTypes">
  <Template>Normal</Template>
  <TotalTime>8</TotalTime>
  <Pages>9</Pages>
  <Words>3492</Words>
  <Characters>19206</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RTS</dc:creator>
  <cp:lastModifiedBy>Bernardin MAWUSSI</cp:lastModifiedBy>
  <cp:revision>3</cp:revision>
  <cp:lastPrinted>2017-05-22T10:42:00Z</cp:lastPrinted>
  <dcterms:created xsi:type="dcterms:W3CDTF">2025-09-23T16:41:00Z</dcterms:created>
  <dcterms:modified xsi:type="dcterms:W3CDTF">2025-09-23T16:48:00Z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0x010100D4AB9F800C80A941A2045F5953EE8747</vt:lpwstr>
  </property>
</Properties>
</file>