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6AD01" w14:textId="7717907C" w:rsidR="00B83CC3" w:rsidRPr="00586577" w:rsidRDefault="004D0A66" w:rsidP="00586577">
      <w:pPr>
        <w:spacing w:line="276" w:lineRule="auto"/>
        <w:jc w:val="both"/>
        <w:rPr>
          <w:rFonts w:asciiTheme="majorHAnsi" w:hAnsiTheme="majorHAnsi"/>
          <w:lang w:val="fr-FR" w:eastAsia="en-US"/>
        </w:rPr>
      </w:pPr>
      <w:r w:rsidRPr="004D0A66">
        <w:rPr>
          <w:rFonts w:asciiTheme="majorHAnsi" w:hAnsiTheme="majorHAnsi"/>
          <w:lang w:val="fr-FR" w:eastAsia="en-US"/>
        </w:rPr>
        <w:t xml:space="preserve">Les modalités de contrôle des connaissances </w:t>
      </w:r>
      <w:r w:rsidR="008846FE">
        <w:rPr>
          <w:rFonts w:asciiTheme="majorHAnsi" w:hAnsiTheme="majorHAnsi"/>
          <w:lang w:val="fr-FR" w:eastAsia="en-US"/>
        </w:rPr>
        <w:t xml:space="preserve">et compétences </w:t>
      </w:r>
      <w:r>
        <w:rPr>
          <w:rFonts w:asciiTheme="majorHAnsi" w:hAnsiTheme="majorHAnsi"/>
          <w:lang w:val="fr-FR" w:eastAsia="en-US"/>
        </w:rPr>
        <w:t>définies pour l</w:t>
      </w:r>
      <w:r w:rsidR="00B87489">
        <w:rPr>
          <w:rFonts w:asciiTheme="majorHAnsi" w:hAnsiTheme="majorHAnsi"/>
          <w:lang w:val="fr-FR" w:eastAsia="en-US"/>
        </w:rPr>
        <w:t xml:space="preserve">a </w:t>
      </w:r>
      <w:r w:rsidR="00CE1B9A">
        <w:rPr>
          <w:rFonts w:asciiTheme="majorHAnsi" w:hAnsiTheme="majorHAnsi"/>
          <w:lang w:val="fr-FR" w:eastAsia="en-US"/>
        </w:rPr>
        <w:t>L</w:t>
      </w:r>
      <w:r w:rsidR="00B87489">
        <w:rPr>
          <w:rFonts w:asciiTheme="majorHAnsi" w:hAnsiTheme="majorHAnsi"/>
          <w:lang w:val="fr-FR" w:eastAsia="en-US"/>
        </w:rPr>
        <w:t xml:space="preserve">icence </w:t>
      </w:r>
      <w:r w:rsidR="00CE1B9A">
        <w:rPr>
          <w:rFonts w:asciiTheme="majorHAnsi" w:hAnsiTheme="majorHAnsi"/>
          <w:lang w:val="fr-FR" w:eastAsia="en-US"/>
        </w:rPr>
        <w:t>P</w:t>
      </w:r>
      <w:r w:rsidR="00B87489">
        <w:rPr>
          <w:rFonts w:asciiTheme="majorHAnsi" w:hAnsiTheme="majorHAnsi"/>
          <w:lang w:val="fr-FR" w:eastAsia="en-US"/>
        </w:rPr>
        <w:t>rofessionnelle</w:t>
      </w:r>
      <w:r>
        <w:rPr>
          <w:rFonts w:asciiTheme="majorHAnsi" w:hAnsiTheme="majorHAnsi"/>
          <w:lang w:val="fr-FR" w:eastAsia="en-US"/>
        </w:rPr>
        <w:t xml:space="preserve"> </w:t>
      </w:r>
      <w:r w:rsidR="00CE1B9A">
        <w:rPr>
          <w:rFonts w:asciiTheme="majorHAnsi" w:hAnsiTheme="majorHAnsi"/>
          <w:lang w:val="fr-FR" w:eastAsia="en-US"/>
        </w:rPr>
        <w:t xml:space="preserve">sur </w:t>
      </w:r>
      <w:r w:rsidR="00CA5D42">
        <w:rPr>
          <w:rFonts w:asciiTheme="majorHAnsi" w:hAnsiTheme="majorHAnsi"/>
          <w:lang w:val="fr-FR" w:eastAsia="en-US"/>
        </w:rPr>
        <w:t>un an</w:t>
      </w:r>
      <w:r>
        <w:rPr>
          <w:rFonts w:asciiTheme="majorHAnsi" w:hAnsiTheme="majorHAnsi"/>
          <w:lang w:val="fr-FR" w:eastAsia="en-US"/>
        </w:rPr>
        <w:t xml:space="preserve"> à l’IUT de Saint-Denis </w:t>
      </w:r>
      <w:r w:rsidRPr="004D0A66">
        <w:rPr>
          <w:rFonts w:asciiTheme="majorHAnsi" w:hAnsiTheme="majorHAnsi"/>
          <w:lang w:val="fr-FR" w:eastAsia="en-US"/>
        </w:rPr>
        <w:t xml:space="preserve">s’inscrivent dans le </w:t>
      </w:r>
      <w:r w:rsidRPr="00586577">
        <w:rPr>
          <w:rFonts w:asciiTheme="majorHAnsi" w:hAnsiTheme="majorHAnsi"/>
          <w:lang w:val="fr-FR" w:eastAsia="en-US"/>
        </w:rPr>
        <w:t>cadre</w:t>
      </w:r>
      <w:r w:rsidR="00365B46" w:rsidRPr="00586577">
        <w:rPr>
          <w:rFonts w:asciiTheme="majorHAnsi" w:hAnsiTheme="majorHAnsi"/>
          <w:lang w:val="fr-FR" w:eastAsia="en-US"/>
        </w:rPr>
        <w:t xml:space="preserve"> des textes en vigueur</w:t>
      </w:r>
      <w:r w:rsidR="00365B46">
        <w:rPr>
          <w:rFonts w:asciiTheme="majorHAnsi" w:hAnsiTheme="majorHAnsi"/>
          <w:lang w:val="fr-FR" w:eastAsia="en-US"/>
        </w:rPr>
        <w:t>.</w:t>
      </w:r>
    </w:p>
    <w:p w14:paraId="6E1485A2" w14:textId="67080D33" w:rsidR="009E7093" w:rsidRPr="00B83CC3" w:rsidRDefault="00F36F7A" w:rsidP="008846FE">
      <w:pPr>
        <w:jc w:val="center"/>
        <w:rPr>
          <w:rFonts w:asciiTheme="majorHAnsi" w:hAnsiTheme="majorHAnsi" w:cstheme="majorHAnsi"/>
          <w:b/>
          <w:sz w:val="32"/>
          <w:szCs w:val="32"/>
          <w:bdr w:val="nil"/>
          <w:lang w:val="fr-FR" w:eastAsia="fr-FR"/>
        </w:rPr>
      </w:pPr>
      <w:r w:rsidRPr="00B83CC3">
        <w:rPr>
          <w:rFonts w:asciiTheme="majorHAnsi" w:eastAsiaTheme="majorEastAsia" w:hAnsiTheme="majorHAnsi" w:cstheme="majorHAnsi"/>
          <w:b/>
          <w:bCs/>
          <w:color w:val="1F497D" w:themeColor="text2"/>
          <w:sz w:val="32"/>
          <w:szCs w:val="32"/>
          <w:lang w:val="fr-FR"/>
        </w:rPr>
        <w:t>REGLEMENT</w:t>
      </w:r>
      <w:r w:rsidR="00ED4D45" w:rsidRPr="00B83CC3">
        <w:rPr>
          <w:rFonts w:asciiTheme="majorHAnsi" w:eastAsiaTheme="majorEastAsia" w:hAnsiTheme="majorHAnsi" w:cstheme="majorHAnsi"/>
          <w:b/>
          <w:bCs/>
          <w:color w:val="1F497D" w:themeColor="text2"/>
          <w:sz w:val="32"/>
          <w:szCs w:val="32"/>
          <w:lang w:val="fr-FR"/>
        </w:rPr>
        <w:t xml:space="preserve"> DES ETUDES ET </w:t>
      </w:r>
      <w:r w:rsidR="00F705F8" w:rsidRPr="00B83CC3">
        <w:rPr>
          <w:rFonts w:asciiTheme="majorHAnsi" w:eastAsiaTheme="majorEastAsia" w:hAnsiTheme="majorHAnsi" w:cstheme="majorHAnsi"/>
          <w:b/>
          <w:bCs/>
          <w:color w:val="1F497D" w:themeColor="text2"/>
          <w:sz w:val="32"/>
          <w:szCs w:val="32"/>
          <w:lang w:val="fr-FR"/>
        </w:rPr>
        <w:t>MCC</w:t>
      </w:r>
      <w:r w:rsidR="002035E2" w:rsidRPr="00B83CC3">
        <w:rPr>
          <w:rFonts w:asciiTheme="majorHAnsi" w:eastAsiaTheme="majorEastAsia" w:hAnsiTheme="majorHAnsi" w:cstheme="majorHAnsi"/>
          <w:b/>
          <w:bCs/>
          <w:color w:val="1F497D" w:themeColor="text2"/>
          <w:sz w:val="32"/>
          <w:szCs w:val="32"/>
          <w:lang w:val="fr-FR"/>
        </w:rPr>
        <w:t>C</w:t>
      </w:r>
      <w:r w:rsidR="00F705F8" w:rsidRPr="00B83CC3">
        <w:rPr>
          <w:rFonts w:asciiTheme="majorHAnsi" w:eastAsiaTheme="majorEastAsia" w:hAnsiTheme="majorHAnsi" w:cstheme="majorHAnsi"/>
          <w:b/>
          <w:bCs/>
          <w:color w:val="1F497D" w:themeColor="text2"/>
          <w:sz w:val="32"/>
          <w:szCs w:val="32"/>
          <w:lang w:val="fr-FR"/>
        </w:rPr>
        <w:t xml:space="preserve"> </w:t>
      </w:r>
      <w:r w:rsidR="00E2320A" w:rsidRPr="00B83CC3">
        <w:rPr>
          <w:rFonts w:asciiTheme="majorHAnsi" w:eastAsiaTheme="majorEastAsia" w:hAnsiTheme="majorHAnsi" w:cstheme="majorHAnsi"/>
          <w:b/>
          <w:bCs/>
          <w:color w:val="1F497D" w:themeColor="text2"/>
          <w:sz w:val="32"/>
          <w:szCs w:val="32"/>
          <w:lang w:val="fr-FR"/>
        </w:rPr>
        <w:t>2</w:t>
      </w:r>
      <w:r w:rsidR="00F631AE">
        <w:rPr>
          <w:rFonts w:asciiTheme="majorHAnsi" w:eastAsiaTheme="majorEastAsia" w:hAnsiTheme="majorHAnsi" w:cstheme="majorHAnsi"/>
          <w:b/>
          <w:bCs/>
          <w:color w:val="1F497D" w:themeColor="text2"/>
          <w:sz w:val="32"/>
          <w:szCs w:val="32"/>
          <w:lang w:val="fr-FR"/>
        </w:rPr>
        <w:t>5</w:t>
      </w:r>
      <w:r w:rsidR="00DE47A7" w:rsidRPr="00B83CC3">
        <w:rPr>
          <w:rFonts w:asciiTheme="majorHAnsi" w:eastAsiaTheme="majorEastAsia" w:hAnsiTheme="majorHAnsi" w:cstheme="majorHAnsi"/>
          <w:b/>
          <w:bCs/>
          <w:color w:val="1F497D" w:themeColor="text2"/>
          <w:sz w:val="32"/>
          <w:szCs w:val="32"/>
          <w:lang w:val="fr-FR"/>
        </w:rPr>
        <w:t>/</w:t>
      </w:r>
      <w:r w:rsidR="00E2320A" w:rsidRPr="00B83CC3">
        <w:rPr>
          <w:rFonts w:asciiTheme="majorHAnsi" w:eastAsiaTheme="majorEastAsia" w:hAnsiTheme="majorHAnsi" w:cstheme="majorHAnsi"/>
          <w:b/>
          <w:bCs/>
          <w:color w:val="1F497D" w:themeColor="text2"/>
          <w:sz w:val="32"/>
          <w:szCs w:val="32"/>
          <w:lang w:val="fr-FR"/>
        </w:rPr>
        <w:t>2</w:t>
      </w:r>
      <w:r w:rsidR="00F631AE">
        <w:rPr>
          <w:rFonts w:asciiTheme="majorHAnsi" w:eastAsiaTheme="majorEastAsia" w:hAnsiTheme="majorHAnsi" w:cstheme="majorHAnsi"/>
          <w:b/>
          <w:bCs/>
          <w:color w:val="1F497D" w:themeColor="text2"/>
          <w:sz w:val="32"/>
          <w:szCs w:val="32"/>
          <w:lang w:val="fr-FR"/>
        </w:rPr>
        <w:t>6</w:t>
      </w:r>
    </w:p>
    <w:p w14:paraId="1E8E9AFC" w14:textId="7209D6F8" w:rsidR="00F36F7A" w:rsidRDefault="00F36F7A" w:rsidP="00BE16FE">
      <w:pPr>
        <w:pStyle w:val="Paragraphedeliste"/>
        <w:numPr>
          <w:ilvl w:val="0"/>
          <w:numId w:val="3"/>
        </w:numPr>
        <w:jc w:val="both"/>
        <w:rPr>
          <w:rFonts w:asciiTheme="majorHAnsi" w:hAnsiTheme="majorHAnsi"/>
          <w:b/>
          <w:lang w:val="fr-FR" w:eastAsia="en-US"/>
        </w:rPr>
      </w:pPr>
      <w:r>
        <w:rPr>
          <w:rFonts w:asciiTheme="majorHAnsi" w:hAnsiTheme="majorHAnsi"/>
          <w:b/>
          <w:lang w:val="fr-FR" w:eastAsia="en-US"/>
        </w:rPr>
        <w:t>Composante :</w:t>
      </w:r>
      <w:r w:rsidR="000911EA">
        <w:rPr>
          <w:rFonts w:asciiTheme="majorHAnsi" w:hAnsiTheme="majorHAnsi"/>
          <w:b/>
          <w:lang w:val="fr-FR" w:eastAsia="en-US"/>
        </w:rPr>
        <w:t xml:space="preserve"> IUT de Saint-Denis</w:t>
      </w:r>
    </w:p>
    <w:p w14:paraId="4AE1F01A" w14:textId="759D2350" w:rsidR="00F36F7A" w:rsidRDefault="00F36F7A" w:rsidP="00BE16FE">
      <w:pPr>
        <w:pStyle w:val="Paragraphedeliste"/>
        <w:numPr>
          <w:ilvl w:val="0"/>
          <w:numId w:val="3"/>
        </w:numPr>
        <w:jc w:val="both"/>
        <w:rPr>
          <w:rFonts w:asciiTheme="majorHAnsi" w:hAnsiTheme="majorHAnsi"/>
          <w:b/>
          <w:lang w:val="fr-FR" w:eastAsia="en-US"/>
        </w:rPr>
      </w:pPr>
      <w:r>
        <w:rPr>
          <w:rFonts w:asciiTheme="majorHAnsi" w:hAnsiTheme="majorHAnsi"/>
          <w:b/>
          <w:lang w:val="fr-FR" w:eastAsia="en-US"/>
        </w:rPr>
        <w:t>Nom</w:t>
      </w:r>
      <w:r w:rsidR="000911EA">
        <w:rPr>
          <w:rFonts w:asciiTheme="majorHAnsi" w:hAnsiTheme="majorHAnsi"/>
          <w:b/>
          <w:lang w:val="fr-FR" w:eastAsia="en-US"/>
        </w:rPr>
        <w:t>s</w:t>
      </w:r>
      <w:r>
        <w:rPr>
          <w:rFonts w:asciiTheme="majorHAnsi" w:hAnsiTheme="majorHAnsi"/>
          <w:b/>
          <w:lang w:val="fr-FR" w:eastAsia="en-US"/>
        </w:rPr>
        <w:t xml:space="preserve"> de</w:t>
      </w:r>
      <w:r w:rsidR="000911EA">
        <w:rPr>
          <w:rFonts w:asciiTheme="majorHAnsi" w:hAnsiTheme="majorHAnsi"/>
          <w:b/>
          <w:lang w:val="fr-FR" w:eastAsia="en-US"/>
        </w:rPr>
        <w:t>s</w:t>
      </w:r>
      <w:r>
        <w:rPr>
          <w:rFonts w:asciiTheme="majorHAnsi" w:hAnsiTheme="majorHAnsi"/>
          <w:b/>
          <w:lang w:val="fr-FR" w:eastAsia="en-US"/>
        </w:rPr>
        <w:t xml:space="preserve"> Mention</w:t>
      </w:r>
      <w:r w:rsidR="000911EA">
        <w:rPr>
          <w:rFonts w:asciiTheme="majorHAnsi" w:hAnsiTheme="majorHAnsi"/>
          <w:b/>
          <w:lang w:val="fr-FR" w:eastAsia="en-US"/>
        </w:rPr>
        <w:t>s</w:t>
      </w:r>
      <w:r>
        <w:rPr>
          <w:rFonts w:asciiTheme="majorHAnsi" w:hAnsiTheme="majorHAnsi"/>
          <w:b/>
          <w:lang w:val="fr-FR" w:eastAsia="en-US"/>
        </w:rPr>
        <w:t> :</w:t>
      </w:r>
      <w:r w:rsidR="000911EA">
        <w:rPr>
          <w:rFonts w:asciiTheme="majorHAnsi" w:hAnsiTheme="majorHAnsi"/>
          <w:b/>
          <w:lang w:val="fr-FR" w:eastAsia="en-US"/>
        </w:rPr>
        <w:t xml:space="preserve"> </w:t>
      </w:r>
    </w:p>
    <w:p w14:paraId="284DE4F8" w14:textId="405BA62E" w:rsidR="00001875" w:rsidRPr="00D21343" w:rsidRDefault="00001875" w:rsidP="000911EA">
      <w:pPr>
        <w:pStyle w:val="Paragraphedeliste"/>
        <w:jc w:val="both"/>
        <w:rPr>
          <w:rFonts w:asciiTheme="majorHAnsi" w:hAnsiTheme="majorHAnsi"/>
          <w:b/>
          <w:lang w:val="fr-FR" w:eastAsia="en-US"/>
        </w:rPr>
      </w:pPr>
      <w:r w:rsidRPr="00D21343">
        <w:rPr>
          <w:rFonts w:asciiTheme="majorHAnsi" w:hAnsiTheme="majorHAnsi"/>
          <w:b/>
          <w:lang w:val="fr-FR" w:eastAsia="en-US"/>
        </w:rPr>
        <w:t>Management des Activités Commerciales</w:t>
      </w:r>
    </w:p>
    <w:p w14:paraId="75850D0E" w14:textId="7D689E1A" w:rsidR="00140AB5" w:rsidRPr="00D21343" w:rsidRDefault="00140AB5" w:rsidP="000911EA">
      <w:pPr>
        <w:pStyle w:val="Paragraphedeliste"/>
        <w:jc w:val="both"/>
        <w:rPr>
          <w:rFonts w:asciiTheme="majorHAnsi" w:hAnsiTheme="majorHAnsi" w:cstheme="majorHAnsi"/>
          <w:b/>
          <w:lang w:val="fr-FR"/>
        </w:rPr>
      </w:pPr>
      <w:r w:rsidRPr="00D21343">
        <w:rPr>
          <w:rFonts w:asciiTheme="majorHAnsi" w:hAnsiTheme="majorHAnsi" w:cstheme="majorHAnsi"/>
          <w:b/>
          <w:lang w:val="fr-FR"/>
        </w:rPr>
        <w:t>Qualité, Hygiène, Sécurité, Santé, E</w:t>
      </w:r>
      <w:bookmarkStart w:id="0" w:name="_GoBack"/>
      <w:bookmarkEnd w:id="0"/>
      <w:r w:rsidRPr="00D21343">
        <w:rPr>
          <w:rFonts w:asciiTheme="majorHAnsi" w:hAnsiTheme="majorHAnsi" w:cstheme="majorHAnsi"/>
          <w:b/>
          <w:lang w:val="fr-FR"/>
        </w:rPr>
        <w:t>nvironnement</w:t>
      </w:r>
    </w:p>
    <w:p w14:paraId="318648BA" w14:textId="07A0D606" w:rsidR="00140AB5" w:rsidRPr="00D21343" w:rsidRDefault="00140AB5" w:rsidP="000911EA">
      <w:pPr>
        <w:pStyle w:val="Paragraphedeliste"/>
        <w:jc w:val="both"/>
        <w:rPr>
          <w:rFonts w:asciiTheme="majorHAnsi" w:hAnsiTheme="majorHAnsi"/>
          <w:b/>
          <w:lang w:val="fr-FR" w:eastAsia="en-US"/>
        </w:rPr>
      </w:pPr>
      <w:r w:rsidRPr="00D21343">
        <w:rPr>
          <w:rFonts w:asciiTheme="majorHAnsi" w:hAnsiTheme="majorHAnsi" w:cstheme="majorHAnsi"/>
          <w:b/>
          <w:lang w:val="fr-FR"/>
        </w:rPr>
        <w:t>Métiers de l'Industrie : Conception et Amélioration de Processus et Procédés Industriels</w:t>
      </w:r>
    </w:p>
    <w:p w14:paraId="1AC31BAE" w14:textId="4A099D41" w:rsidR="00F36F7A" w:rsidRPr="00001875" w:rsidRDefault="00F36F7A" w:rsidP="00F36F7A">
      <w:pPr>
        <w:pStyle w:val="Paragraphedeliste"/>
        <w:jc w:val="both"/>
        <w:rPr>
          <w:rFonts w:asciiTheme="majorHAnsi" w:hAnsiTheme="majorHAnsi"/>
          <w:b/>
          <w:lang w:val="fr-FR" w:eastAsia="en-US"/>
        </w:rPr>
      </w:pPr>
    </w:p>
    <w:p w14:paraId="09C1B7E5" w14:textId="2E43722F" w:rsidR="00F36F7A" w:rsidRPr="00F36F7A" w:rsidRDefault="004E325F" w:rsidP="00F36F7A">
      <w:pPr>
        <w:pStyle w:val="Paragraphedeliste"/>
        <w:numPr>
          <w:ilvl w:val="0"/>
          <w:numId w:val="3"/>
        </w:numPr>
        <w:jc w:val="both"/>
        <w:rPr>
          <w:rFonts w:asciiTheme="majorHAnsi" w:hAnsiTheme="majorHAnsi"/>
          <w:b/>
          <w:lang w:val="fr-FR" w:eastAsia="en-US"/>
        </w:rPr>
      </w:pPr>
      <w:r w:rsidRPr="00FC1251">
        <w:rPr>
          <w:rFonts w:asciiTheme="majorHAnsi" w:hAnsiTheme="majorHAnsi"/>
          <w:b/>
          <w:lang w:val="fr-FR" w:eastAsia="en-US"/>
        </w:rPr>
        <w:t>Date de validation par le conseil de composante</w:t>
      </w:r>
      <w:r w:rsidR="00F36F7A">
        <w:rPr>
          <w:rFonts w:asciiTheme="majorHAnsi" w:hAnsiTheme="majorHAnsi"/>
          <w:b/>
          <w:lang w:val="fr-FR" w:eastAsia="en-US"/>
        </w:rPr>
        <w:t xml:space="preserve"> : </w:t>
      </w:r>
      <w:r w:rsidR="00586577">
        <w:rPr>
          <w:rFonts w:asciiTheme="majorHAnsi" w:hAnsiTheme="majorHAnsi"/>
          <w:b/>
          <w:lang w:val="fr-FR" w:eastAsia="en-US"/>
        </w:rPr>
        <w:t>23</w:t>
      </w:r>
      <w:r w:rsidR="00551AAE">
        <w:rPr>
          <w:rFonts w:asciiTheme="majorHAnsi" w:hAnsiTheme="majorHAnsi"/>
          <w:b/>
          <w:lang w:val="fr-FR" w:eastAsia="en-US"/>
        </w:rPr>
        <w:t xml:space="preserve"> </w:t>
      </w:r>
      <w:r w:rsidR="00586577">
        <w:rPr>
          <w:rFonts w:asciiTheme="majorHAnsi" w:hAnsiTheme="majorHAnsi"/>
          <w:b/>
          <w:lang w:val="fr-FR" w:eastAsia="en-US"/>
        </w:rPr>
        <w:t>septembre</w:t>
      </w:r>
      <w:r w:rsidR="00551AAE">
        <w:rPr>
          <w:rFonts w:asciiTheme="majorHAnsi" w:hAnsiTheme="majorHAnsi"/>
          <w:b/>
          <w:lang w:val="fr-FR" w:eastAsia="en-US"/>
        </w:rPr>
        <w:t xml:space="preserve"> 2025</w:t>
      </w:r>
    </w:p>
    <w:p w14:paraId="4452028B" w14:textId="72D5B522" w:rsidR="00467374" w:rsidRPr="00FC1251" w:rsidRDefault="00F36F7A" w:rsidP="00BE16FE">
      <w:pPr>
        <w:pStyle w:val="Paragraphedeliste"/>
        <w:numPr>
          <w:ilvl w:val="0"/>
          <w:numId w:val="3"/>
        </w:numPr>
        <w:jc w:val="both"/>
        <w:rPr>
          <w:rFonts w:asciiTheme="majorHAnsi" w:hAnsiTheme="majorHAnsi"/>
          <w:b/>
          <w:lang w:val="fr-FR" w:eastAsia="en-US"/>
        </w:rPr>
      </w:pPr>
      <w:r>
        <w:rPr>
          <w:rFonts w:asciiTheme="majorHAnsi" w:hAnsiTheme="majorHAnsi"/>
          <w:b/>
          <w:lang w:val="fr-FR" w:eastAsia="en-US"/>
        </w:rPr>
        <w:t xml:space="preserve">Date de validation en CFVU : </w:t>
      </w:r>
      <w:r w:rsidR="00551AAE">
        <w:rPr>
          <w:rFonts w:asciiTheme="majorHAnsi" w:hAnsiTheme="majorHAnsi"/>
          <w:b/>
          <w:lang w:val="fr-FR" w:eastAsia="en-US"/>
        </w:rPr>
        <w:t>XXXX</w:t>
      </w:r>
    </w:p>
    <w:p w14:paraId="7B43C924" w14:textId="7A783146" w:rsidR="00467374" w:rsidRPr="006E03CE" w:rsidRDefault="008846FE" w:rsidP="009F763E">
      <w:pPr>
        <w:pStyle w:val="Titre1"/>
      </w:pPr>
      <w:r w:rsidRPr="00BA37ED">
        <w:t>Architecture</w:t>
      </w:r>
      <w:r w:rsidRPr="006E03CE">
        <w:t xml:space="preserve"> </w:t>
      </w:r>
      <w:r w:rsidRPr="00586577">
        <w:t>de</w:t>
      </w:r>
      <w:r w:rsidR="00365B46" w:rsidRPr="00586577">
        <w:t>s</w:t>
      </w:r>
      <w:r w:rsidRPr="006E03CE">
        <w:t xml:space="preserve"> </w:t>
      </w:r>
      <w:r w:rsidRPr="00586577">
        <w:t>mention</w:t>
      </w:r>
      <w:r w:rsidR="00365B46" w:rsidRPr="00586577">
        <w:t>s</w:t>
      </w:r>
      <w:r w:rsidRPr="006E03CE">
        <w:t> (</w:t>
      </w:r>
      <w:r w:rsidR="002035E2" w:rsidRPr="006E03CE">
        <w:t>parcours</w:t>
      </w:r>
      <w:r w:rsidR="00F36F7A" w:rsidRPr="006E03CE">
        <w:t xml:space="preserve"> associés </w:t>
      </w:r>
      <w:r w:rsidR="00365B46" w:rsidRPr="00586577">
        <w:t>aux</w:t>
      </w:r>
      <w:r w:rsidR="00365B46">
        <w:t xml:space="preserve"> </w:t>
      </w:r>
      <w:r w:rsidR="00F36F7A" w:rsidRPr="00586577">
        <w:t>mention</w:t>
      </w:r>
      <w:r w:rsidR="00365B46" w:rsidRPr="00586577">
        <w:t>s</w:t>
      </w:r>
      <w:r w:rsidRPr="006E03CE">
        <w:t>)</w:t>
      </w:r>
    </w:p>
    <w:p w14:paraId="57231D67" w14:textId="77777777" w:rsidR="00F36F7A" w:rsidRPr="000911EA" w:rsidRDefault="00F36F7A" w:rsidP="00F36F7A">
      <w:pPr>
        <w:rPr>
          <w:sz w:val="2"/>
          <w:lang w:val="fr-FR"/>
        </w:rPr>
      </w:pPr>
    </w:p>
    <w:tbl>
      <w:tblPr>
        <w:tblStyle w:val="Grilledutableau"/>
        <w:tblW w:w="0" w:type="auto"/>
        <w:tblLook w:val="04A0" w:firstRow="1" w:lastRow="0" w:firstColumn="1" w:lastColumn="0" w:noHBand="0" w:noVBand="1"/>
      </w:tblPr>
      <w:tblGrid>
        <w:gridCol w:w="3539"/>
        <w:gridCol w:w="6090"/>
      </w:tblGrid>
      <w:tr w:rsidR="00E404DA" w:rsidRPr="003F50B9" w14:paraId="783A3C48" w14:textId="77777777" w:rsidTr="004F344C">
        <w:trPr>
          <w:trHeight w:val="879"/>
        </w:trPr>
        <w:tc>
          <w:tcPr>
            <w:tcW w:w="3539" w:type="dxa"/>
            <w:vAlign w:val="center"/>
          </w:tcPr>
          <w:p w14:paraId="3D28296A" w14:textId="22ECF5C5" w:rsidR="00E404DA" w:rsidRPr="006778FA" w:rsidRDefault="00E404DA" w:rsidP="007115A2">
            <w:pPr>
              <w:spacing w:line="360" w:lineRule="auto"/>
              <w:jc w:val="center"/>
              <w:rPr>
                <w:b/>
                <w:sz w:val="24"/>
                <w:szCs w:val="24"/>
              </w:rPr>
            </w:pPr>
            <w:r w:rsidRPr="00A12C97">
              <w:rPr>
                <w:rFonts w:asciiTheme="majorHAnsi" w:hAnsiTheme="majorHAnsi" w:cstheme="majorHAnsi"/>
                <w:b/>
                <w:sz w:val="24"/>
                <w:szCs w:val="24"/>
              </w:rPr>
              <w:t>Management des Activités Commerciales</w:t>
            </w:r>
          </w:p>
        </w:tc>
        <w:tc>
          <w:tcPr>
            <w:tcW w:w="6090" w:type="dxa"/>
            <w:vAlign w:val="center"/>
          </w:tcPr>
          <w:p w14:paraId="48C993DC" w14:textId="7425DAB6" w:rsidR="00E404DA" w:rsidRPr="00B83CC3" w:rsidRDefault="004917D2" w:rsidP="007115A2">
            <w:pPr>
              <w:jc w:val="both"/>
              <w:rPr>
                <w:rFonts w:asciiTheme="majorHAnsi" w:hAnsiTheme="majorHAnsi" w:cstheme="majorHAnsi"/>
                <w:i/>
                <w:sz w:val="24"/>
                <w:szCs w:val="24"/>
              </w:rPr>
            </w:pPr>
            <w:r w:rsidRPr="00551AAE">
              <w:rPr>
                <w:rFonts w:asciiTheme="majorHAnsi" w:hAnsiTheme="majorHAnsi" w:cstheme="majorHAnsi"/>
                <w:i/>
              </w:rPr>
              <w:t>Développement et créativité en restauration gastronomique</w:t>
            </w:r>
          </w:p>
        </w:tc>
      </w:tr>
    </w:tbl>
    <w:p w14:paraId="6D3C4B78" w14:textId="0FAA2CD8" w:rsidR="00B06B04" w:rsidRDefault="00B06B04" w:rsidP="00B06B04">
      <w:pPr>
        <w:rPr>
          <w:lang w:val="fr-FR"/>
        </w:rPr>
      </w:pPr>
    </w:p>
    <w:tbl>
      <w:tblPr>
        <w:tblStyle w:val="Grilledutableau"/>
        <w:tblW w:w="0" w:type="auto"/>
        <w:tblLook w:val="04A0" w:firstRow="1" w:lastRow="0" w:firstColumn="1" w:lastColumn="0" w:noHBand="0" w:noVBand="1"/>
      </w:tblPr>
      <w:tblGrid>
        <w:gridCol w:w="3539"/>
        <w:gridCol w:w="6090"/>
      </w:tblGrid>
      <w:tr w:rsidR="00551AAE" w:rsidRPr="003F50B9" w14:paraId="6B23505B" w14:textId="77777777" w:rsidTr="007115A2">
        <w:tc>
          <w:tcPr>
            <w:tcW w:w="3539" w:type="dxa"/>
            <w:vMerge w:val="restart"/>
          </w:tcPr>
          <w:p w14:paraId="64A60321" w14:textId="2F810C16" w:rsidR="00551AAE" w:rsidRPr="006778FA" w:rsidRDefault="00551AAE" w:rsidP="007115A2">
            <w:pPr>
              <w:spacing w:line="360" w:lineRule="auto"/>
              <w:jc w:val="both"/>
              <w:rPr>
                <w:b/>
                <w:sz w:val="24"/>
                <w:szCs w:val="24"/>
              </w:rPr>
            </w:pPr>
            <w:r w:rsidRPr="00452CAF">
              <w:rPr>
                <w:rFonts w:asciiTheme="majorHAnsi" w:hAnsiTheme="majorHAnsi" w:cstheme="majorHAnsi"/>
                <w:b/>
                <w:sz w:val="24"/>
                <w:szCs w:val="24"/>
              </w:rPr>
              <w:t>Qualité, Hygiène, Sécurité, Santé, Environnement</w:t>
            </w:r>
          </w:p>
        </w:tc>
        <w:tc>
          <w:tcPr>
            <w:tcW w:w="6090" w:type="dxa"/>
            <w:vAlign w:val="center"/>
          </w:tcPr>
          <w:p w14:paraId="4FD2F58F" w14:textId="5D2DA834" w:rsidR="00551AAE" w:rsidRPr="00B83CC3" w:rsidRDefault="00551AAE" w:rsidP="007115A2">
            <w:pPr>
              <w:jc w:val="both"/>
              <w:rPr>
                <w:rFonts w:asciiTheme="majorHAnsi" w:hAnsiTheme="majorHAnsi" w:cstheme="majorHAnsi"/>
                <w:i/>
                <w:sz w:val="24"/>
                <w:szCs w:val="24"/>
              </w:rPr>
            </w:pPr>
            <w:r w:rsidRPr="00B24098">
              <w:rPr>
                <w:rFonts w:asciiTheme="majorHAnsi" w:hAnsiTheme="majorHAnsi" w:cstheme="majorHAnsi"/>
                <w:i/>
                <w:sz w:val="24"/>
                <w:szCs w:val="24"/>
              </w:rPr>
              <w:t>Management des Systèmes de Sécurité Incendie</w:t>
            </w:r>
          </w:p>
        </w:tc>
      </w:tr>
      <w:tr w:rsidR="00551AAE" w:rsidRPr="003F50B9" w14:paraId="2E039994" w14:textId="77777777" w:rsidTr="007115A2">
        <w:tc>
          <w:tcPr>
            <w:tcW w:w="3539" w:type="dxa"/>
            <w:vMerge/>
          </w:tcPr>
          <w:p w14:paraId="2C81CE6A" w14:textId="77777777" w:rsidR="00551AAE" w:rsidRPr="006778FA" w:rsidRDefault="00551AAE" w:rsidP="007115A2">
            <w:pPr>
              <w:spacing w:line="360" w:lineRule="auto"/>
              <w:jc w:val="both"/>
              <w:rPr>
                <w:b/>
              </w:rPr>
            </w:pPr>
          </w:p>
        </w:tc>
        <w:tc>
          <w:tcPr>
            <w:tcW w:w="6090" w:type="dxa"/>
            <w:vAlign w:val="center"/>
          </w:tcPr>
          <w:p w14:paraId="0AD87B6C" w14:textId="01642973" w:rsidR="00551AAE" w:rsidRPr="00B24098" w:rsidRDefault="00551AAE" w:rsidP="007115A2">
            <w:pPr>
              <w:jc w:val="both"/>
              <w:rPr>
                <w:rFonts w:asciiTheme="majorHAnsi" w:hAnsiTheme="majorHAnsi" w:cstheme="majorHAnsi"/>
                <w:i/>
              </w:rPr>
            </w:pPr>
            <w:r w:rsidRPr="00B24098">
              <w:rPr>
                <w:rFonts w:asciiTheme="majorHAnsi" w:hAnsiTheme="majorHAnsi" w:cstheme="majorHAnsi"/>
                <w:i/>
              </w:rPr>
              <w:t>Management de la Santé Sécurité au Travail</w:t>
            </w:r>
          </w:p>
        </w:tc>
      </w:tr>
    </w:tbl>
    <w:p w14:paraId="44CE91FE" w14:textId="77777777" w:rsidR="006204C9" w:rsidRDefault="006204C9" w:rsidP="006204C9">
      <w:pPr>
        <w:rPr>
          <w:lang w:val="fr-FR"/>
        </w:rPr>
      </w:pPr>
    </w:p>
    <w:tbl>
      <w:tblPr>
        <w:tblStyle w:val="Grilledutableau"/>
        <w:tblW w:w="0" w:type="auto"/>
        <w:tblLook w:val="04A0" w:firstRow="1" w:lastRow="0" w:firstColumn="1" w:lastColumn="0" w:noHBand="0" w:noVBand="1"/>
      </w:tblPr>
      <w:tblGrid>
        <w:gridCol w:w="3539"/>
        <w:gridCol w:w="6090"/>
      </w:tblGrid>
      <w:tr w:rsidR="00733817" w:rsidRPr="003F50B9" w14:paraId="446763C5" w14:textId="77777777" w:rsidTr="007115A2">
        <w:tc>
          <w:tcPr>
            <w:tcW w:w="3539" w:type="dxa"/>
            <w:vMerge w:val="restart"/>
            <w:vAlign w:val="center"/>
          </w:tcPr>
          <w:p w14:paraId="43C39C82" w14:textId="2D2D7934" w:rsidR="00733817" w:rsidRPr="006778FA" w:rsidRDefault="00733817" w:rsidP="007115A2">
            <w:pPr>
              <w:spacing w:line="360" w:lineRule="auto"/>
              <w:jc w:val="center"/>
              <w:rPr>
                <w:b/>
                <w:sz w:val="24"/>
                <w:szCs w:val="24"/>
              </w:rPr>
            </w:pPr>
            <w:r w:rsidRPr="00B24098">
              <w:rPr>
                <w:rFonts w:asciiTheme="majorHAnsi" w:hAnsiTheme="majorHAnsi" w:cstheme="majorHAnsi"/>
                <w:b/>
                <w:sz w:val="24"/>
                <w:szCs w:val="24"/>
              </w:rPr>
              <w:t>Métiers de l'Industrie : Conception et Amélioration de Processus et Procédés Industriels</w:t>
            </w:r>
          </w:p>
        </w:tc>
        <w:tc>
          <w:tcPr>
            <w:tcW w:w="6090" w:type="dxa"/>
            <w:vAlign w:val="center"/>
          </w:tcPr>
          <w:p w14:paraId="4257FBE5" w14:textId="17209A8F" w:rsidR="00733817" w:rsidRPr="00B83CC3" w:rsidRDefault="00733817" w:rsidP="007115A2">
            <w:pPr>
              <w:jc w:val="both"/>
              <w:rPr>
                <w:rFonts w:asciiTheme="majorHAnsi" w:hAnsiTheme="majorHAnsi" w:cstheme="majorHAnsi"/>
                <w:i/>
                <w:sz w:val="24"/>
                <w:szCs w:val="24"/>
              </w:rPr>
            </w:pPr>
            <w:r w:rsidRPr="00B24098">
              <w:rPr>
                <w:rFonts w:asciiTheme="majorHAnsi" w:hAnsiTheme="majorHAnsi" w:cstheme="majorHAnsi"/>
                <w:i/>
                <w:sz w:val="24"/>
                <w:szCs w:val="24"/>
              </w:rPr>
              <w:t>Métrologie Dimensionnelle, Qualité de la Production en Mécanique</w:t>
            </w:r>
          </w:p>
        </w:tc>
      </w:tr>
      <w:tr w:rsidR="00733817" w:rsidRPr="003F50B9" w14:paraId="2A28C1D5" w14:textId="77777777" w:rsidTr="007115A2">
        <w:tc>
          <w:tcPr>
            <w:tcW w:w="3539" w:type="dxa"/>
            <w:vMerge/>
            <w:vAlign w:val="center"/>
          </w:tcPr>
          <w:p w14:paraId="2D55B28D" w14:textId="77777777" w:rsidR="00733817" w:rsidRPr="00B24098" w:rsidRDefault="00733817" w:rsidP="007115A2">
            <w:pPr>
              <w:spacing w:line="360" w:lineRule="auto"/>
              <w:jc w:val="center"/>
              <w:rPr>
                <w:rFonts w:asciiTheme="majorHAnsi" w:hAnsiTheme="majorHAnsi" w:cstheme="majorHAnsi"/>
                <w:b/>
              </w:rPr>
            </w:pPr>
          </w:p>
        </w:tc>
        <w:tc>
          <w:tcPr>
            <w:tcW w:w="6090" w:type="dxa"/>
            <w:vAlign w:val="center"/>
          </w:tcPr>
          <w:p w14:paraId="4BAF9660" w14:textId="1A112FD7" w:rsidR="00733817" w:rsidRPr="00B24098" w:rsidRDefault="00733817" w:rsidP="007115A2">
            <w:pPr>
              <w:jc w:val="both"/>
              <w:rPr>
                <w:rFonts w:asciiTheme="majorHAnsi" w:hAnsiTheme="majorHAnsi" w:cstheme="majorHAnsi"/>
                <w:i/>
              </w:rPr>
            </w:pPr>
            <w:r w:rsidRPr="00966CF4">
              <w:rPr>
                <w:rFonts w:asciiTheme="majorHAnsi" w:hAnsiTheme="majorHAnsi" w:cstheme="majorHAnsi"/>
                <w:i/>
              </w:rPr>
              <w:t>Systèmes Mécatroniques de Production Industrielle</w:t>
            </w:r>
          </w:p>
        </w:tc>
      </w:tr>
    </w:tbl>
    <w:p w14:paraId="3B8F87B1" w14:textId="77777777" w:rsidR="00A12C97" w:rsidRPr="00A12C97" w:rsidRDefault="00A12C97" w:rsidP="00B06B04">
      <w:pPr>
        <w:rPr>
          <w:lang w:val="fr-FR"/>
        </w:rPr>
      </w:pPr>
    </w:p>
    <w:p w14:paraId="4E13C8A8" w14:textId="6F961C50" w:rsidR="006E03CE" w:rsidRPr="006E03CE" w:rsidRDefault="006E03CE" w:rsidP="009F763E">
      <w:pPr>
        <w:pStyle w:val="Titre1"/>
      </w:pPr>
      <w:r w:rsidRPr="0098219E">
        <w:t>Inscription</w:t>
      </w:r>
    </w:p>
    <w:p w14:paraId="2DB60396" w14:textId="1B846573" w:rsidR="008846FE" w:rsidRPr="00E31B87" w:rsidRDefault="008846FE" w:rsidP="009F763E">
      <w:pPr>
        <w:pStyle w:val="Titre2"/>
      </w:pPr>
      <w:r w:rsidRPr="00E31B87">
        <w:t>Nombre d’inscriptions autorisé par année</w:t>
      </w:r>
    </w:p>
    <w:p w14:paraId="65A5F158" w14:textId="61EEEFB3" w:rsidR="001142DC" w:rsidRDefault="00CC5CF0" w:rsidP="00551AAE">
      <w:pPr>
        <w:pStyle w:val="Texte"/>
      </w:pPr>
      <w:r w:rsidRPr="006E03CE">
        <w:t>Après</w:t>
      </w:r>
      <w:r>
        <w:t xml:space="preserve"> la première inscription en </w:t>
      </w:r>
      <w:r w:rsidR="00CE1B9A">
        <w:t>Licence Professionnelle sur un an</w:t>
      </w:r>
      <w:r>
        <w:t xml:space="preserve">, toute autre inscription </w:t>
      </w:r>
      <w:r w:rsidR="00CE1B9A">
        <w:t>est soumise</w:t>
      </w:r>
      <w:r>
        <w:t xml:space="preserve"> aux règles de </w:t>
      </w:r>
      <w:r w:rsidR="00CE1B9A">
        <w:t>redoublement qui</w:t>
      </w:r>
      <w:r w:rsidR="005A1227">
        <w:t xml:space="preserve"> sont décrites au point </w:t>
      </w:r>
      <w:r w:rsidR="00214880">
        <w:t>5</w:t>
      </w:r>
      <w:r w:rsidR="00CE1B9A">
        <w:t>.</w:t>
      </w:r>
      <w:r w:rsidR="00214880">
        <w:t>1</w:t>
      </w:r>
      <w:r>
        <w:t>.</w:t>
      </w:r>
      <w:r w:rsidR="00D23FE2">
        <w:t xml:space="preserve"> </w:t>
      </w:r>
      <w:r w:rsidR="00D23FE2" w:rsidRPr="00966CF4">
        <w:t>La date limite d’inscription est votée en CFVU.</w:t>
      </w:r>
    </w:p>
    <w:p w14:paraId="1ED94D5E" w14:textId="1526CCE8" w:rsidR="006E03CE" w:rsidRDefault="006E03CE" w:rsidP="009F763E">
      <w:pPr>
        <w:pStyle w:val="Titre2"/>
      </w:pPr>
      <w:r>
        <w:t>Suivi du contrat de réussite pédagogique</w:t>
      </w:r>
    </w:p>
    <w:p w14:paraId="43334AE2" w14:textId="01AB6055" w:rsidR="00B87489" w:rsidRPr="001319E9" w:rsidRDefault="00B87489" w:rsidP="00551AAE">
      <w:pPr>
        <w:pStyle w:val="Texte"/>
      </w:pPr>
      <w:r w:rsidRPr="001319E9">
        <w:t xml:space="preserve">Le </w:t>
      </w:r>
      <w:r w:rsidR="00B55219" w:rsidRPr="001319E9">
        <w:t xml:space="preserve">suivi du </w:t>
      </w:r>
      <w:r w:rsidRPr="001319E9">
        <w:t xml:space="preserve">contrat de réussite pédagogique </w:t>
      </w:r>
      <w:r w:rsidR="00B55219" w:rsidRPr="001319E9">
        <w:t xml:space="preserve">est réalisé </w:t>
      </w:r>
      <w:r w:rsidR="00CE1B9A" w:rsidRPr="001319E9">
        <w:t>au mois de juin de l’année universitaire</w:t>
      </w:r>
      <w:r w:rsidR="00B55219" w:rsidRPr="001319E9">
        <w:t>. L’entretien n’est pas systématique. Il est proposé aux étudiants</w:t>
      </w:r>
      <w:r w:rsidR="00CE1B9A" w:rsidRPr="001319E9">
        <w:t> </w:t>
      </w:r>
      <w:r w:rsidR="00B55219" w:rsidRPr="001319E9">
        <w:t>dont les résultats le nécessitent</w:t>
      </w:r>
      <w:r w:rsidR="00074DD2" w:rsidRPr="001319E9">
        <w:t xml:space="preserve"> ou qui le demandent notamment dans le cadre de leurs projets personnels et professionnels</w:t>
      </w:r>
      <w:r w:rsidR="00B55219" w:rsidRPr="001319E9">
        <w:t xml:space="preserve">. </w:t>
      </w:r>
    </w:p>
    <w:p w14:paraId="5BD79449" w14:textId="7F5EE320" w:rsidR="004C192F" w:rsidRPr="006E03CE" w:rsidRDefault="006E03CE" w:rsidP="009F763E">
      <w:pPr>
        <w:pStyle w:val="Titre1"/>
      </w:pPr>
      <w:r>
        <w:lastRenderedPageBreak/>
        <w:t>R</w:t>
      </w:r>
      <w:r w:rsidR="004C192F" w:rsidRPr="006E03CE">
        <w:t>ègles de validation</w:t>
      </w:r>
    </w:p>
    <w:p w14:paraId="19E224C5" w14:textId="79FB3E4B" w:rsidR="008D6B1F" w:rsidRDefault="008D6B1F" w:rsidP="009F763E">
      <w:pPr>
        <w:pStyle w:val="Titre2"/>
      </w:pPr>
      <w:r w:rsidRPr="00FC1251">
        <w:t xml:space="preserve">Validation </w:t>
      </w:r>
      <w:r w:rsidR="002B5D13">
        <w:t>de la Licence Professionnelle sur un an</w:t>
      </w:r>
    </w:p>
    <w:p w14:paraId="5CB82A7C" w14:textId="194ECA68" w:rsidR="00684361" w:rsidRPr="00966CF4" w:rsidRDefault="00F02FF8" w:rsidP="00551AAE">
      <w:pPr>
        <w:pStyle w:val="Texte"/>
      </w:pPr>
      <w:r w:rsidRPr="00966CF4">
        <w:t xml:space="preserve">Une UE est constituée d’un ou plusieurs modules. La note terminale obtenue à un module est une moyenne pondérée sur 20 entre les notes obtenues aux différentes épreuves du contrôle continu ; La formule de pondération est </w:t>
      </w:r>
      <w:r w:rsidR="00684361" w:rsidRPr="00966CF4">
        <w:t>portée à la connaissance des étudiants par l’enseignant responsable du module.</w:t>
      </w:r>
      <w:r w:rsidRPr="00966CF4">
        <w:t xml:space="preserve"> </w:t>
      </w:r>
      <w:r w:rsidR="00684361" w:rsidRPr="00966CF4">
        <w:t>Elle reste la même en cas de contrôle de remplacement.</w:t>
      </w:r>
    </w:p>
    <w:p w14:paraId="7EB7B418" w14:textId="5759F57F" w:rsidR="00684361" w:rsidRPr="00966CF4" w:rsidRDefault="00684361" w:rsidP="00551AAE">
      <w:pPr>
        <w:pStyle w:val="Texte"/>
      </w:pPr>
      <w:r w:rsidRPr="00966CF4">
        <w:t>La note de chaque UE est obtenue par moyenne pondérée des notes de modules la composant. La pondération tient compte des coefficients définis dans les maquettes.</w:t>
      </w:r>
    </w:p>
    <w:p w14:paraId="312BEC91" w14:textId="74DE7E8A" w:rsidR="00684361" w:rsidRPr="00966CF4" w:rsidRDefault="00684361" w:rsidP="00551AAE">
      <w:pPr>
        <w:pStyle w:val="Texte"/>
      </w:pPr>
      <w:r w:rsidRPr="00966CF4">
        <w:t>La moyenne générale est obtenue par moyenne pondérée sur 20 de toutes les UE dans le respect des règles fixées par l’accréditation de chaque mention pour ses parcours.</w:t>
      </w:r>
    </w:p>
    <w:p w14:paraId="31382931" w14:textId="4CF5AC37" w:rsidR="002335D6" w:rsidRPr="00966CF4" w:rsidRDefault="002335D6" w:rsidP="002335D6">
      <w:pPr>
        <w:pStyle w:val="Texte"/>
      </w:pPr>
      <w:r w:rsidRPr="00966CF4">
        <w:t>Chaque UE est affectée d'un nombre de crédits capitalisables européen (ECTS). Une UE est acquise si l’étudiant obtient une note finale globale égale ou supérieure à 10 sur 20. Cette note permet d’acquérir les crédits européens correspondants. Les UE dans lesquelles la moyenne de 10 a été obtenue sont capitalisables. Ces UE font l'objet d'une attestation délivrée par l’établissement.</w:t>
      </w:r>
    </w:p>
    <w:p w14:paraId="529118BD" w14:textId="02380751" w:rsidR="002335D6" w:rsidRPr="00966CF4" w:rsidRDefault="002335D6" w:rsidP="002335D6">
      <w:pPr>
        <w:pStyle w:val="Texte"/>
      </w:pPr>
      <w:r w:rsidRPr="00966CF4">
        <w:t>L’année de licence professionnelle est organisée en deux semestres et permet de valider 60 crédits européens</w:t>
      </w:r>
      <w:r w:rsidR="00695F99" w:rsidRPr="00966CF4">
        <w:t xml:space="preserve"> (ECTS)</w:t>
      </w:r>
      <w:r w:rsidRPr="00966CF4">
        <w:t>.</w:t>
      </w:r>
    </w:p>
    <w:p w14:paraId="236EDFA2" w14:textId="77777777" w:rsidR="002335D6" w:rsidRPr="00966CF4" w:rsidRDefault="002335D6" w:rsidP="002335D6">
      <w:pPr>
        <w:pStyle w:val="Texte"/>
      </w:pPr>
      <w:r w:rsidRPr="00966CF4">
        <w:t>Le premier semestre est validé si la moyenne pondérée des notes des UE qui le composent est égale ou supérieure à 10 sur 20.</w:t>
      </w:r>
    </w:p>
    <w:p w14:paraId="16A974F0" w14:textId="3E43F451" w:rsidR="002335D6" w:rsidRPr="00966CF4" w:rsidRDefault="002335D6" w:rsidP="002335D6">
      <w:pPr>
        <w:pStyle w:val="Texte"/>
      </w:pPr>
      <w:r w:rsidRPr="00966CF4">
        <w:t>Le second semestre est validé si la moyenne pondérée des notes des UE qui le composent est égale ou supérieure à 10 sur 20 et si la moyenne pondérée des notes de l’UE stage et l’UE projet tuteuré est égale ou supérieure à 10 sur 20.</w:t>
      </w:r>
    </w:p>
    <w:p w14:paraId="408A6BB3" w14:textId="77777777" w:rsidR="00D8750D" w:rsidRDefault="00D8750D" w:rsidP="00D8750D">
      <w:pPr>
        <w:pStyle w:val="Texte"/>
        <w:rPr>
          <w:color w:val="FF0000"/>
        </w:rPr>
      </w:pPr>
      <w:r w:rsidRPr="00966CF4">
        <w:t>La validation d’un semestre emporte l’acquisition des crédits européens correspondants (30 ECTS).</w:t>
      </w:r>
    </w:p>
    <w:p w14:paraId="500093B4" w14:textId="028D3466" w:rsidR="00447F0C" w:rsidRPr="00966CF4" w:rsidRDefault="00447F0C" w:rsidP="002335D6">
      <w:pPr>
        <w:pStyle w:val="Texte"/>
      </w:pPr>
      <w:r w:rsidRPr="00966CF4">
        <w:t>L’étudiant valide la L</w:t>
      </w:r>
      <w:r w:rsidR="00A24A38">
        <w:t xml:space="preserve">icence </w:t>
      </w:r>
      <w:r w:rsidRPr="00966CF4">
        <w:t>P</w:t>
      </w:r>
      <w:r w:rsidR="00A24A38">
        <w:t>rofessionnelle sur un an</w:t>
      </w:r>
      <w:r w:rsidRPr="00966CF4">
        <w:t xml:space="preserve"> s’il a </w:t>
      </w:r>
      <w:r w:rsidR="00A24A38">
        <w:t>obtenu une</w:t>
      </w:r>
      <w:r w:rsidRPr="00966CF4">
        <w:t xml:space="preserve"> moyenne des </w:t>
      </w:r>
      <w:r w:rsidR="00A24A38">
        <w:t>deux</w:t>
      </w:r>
      <w:r w:rsidRPr="00966CF4">
        <w:t xml:space="preserve"> semestres </w:t>
      </w:r>
      <w:r w:rsidR="00A24A38" w:rsidRPr="00966CF4">
        <w:t>égale ou supérieure à 10 sur 20</w:t>
      </w:r>
      <w:r w:rsidR="00A24A38">
        <w:t xml:space="preserve"> </w:t>
      </w:r>
      <w:r w:rsidRPr="00966CF4">
        <w:t xml:space="preserve">et si seulement s’il a </w:t>
      </w:r>
      <w:r w:rsidR="00A24A38">
        <w:t xml:space="preserve">obtenu </w:t>
      </w:r>
      <w:r w:rsidRPr="00966CF4">
        <w:t xml:space="preserve">une note </w:t>
      </w:r>
      <w:r w:rsidR="00D8750D">
        <w:t xml:space="preserve">de stage ou d’entreprise (activités réalisées en entreprise) </w:t>
      </w:r>
      <w:r w:rsidR="00D8750D" w:rsidRPr="00966CF4">
        <w:t>égale ou supérieure à 10 sur 20</w:t>
      </w:r>
      <w:r w:rsidR="00D8750D">
        <w:t>.</w:t>
      </w:r>
    </w:p>
    <w:p w14:paraId="63354E37" w14:textId="6E3C73B2" w:rsidR="004D773F" w:rsidRDefault="00B26653" w:rsidP="00551AAE">
      <w:pPr>
        <w:pStyle w:val="Texte"/>
      </w:pPr>
      <w:r w:rsidRPr="00B26653">
        <w:t xml:space="preserve">La délivrance du diplôme est subordonnée à la présentation d'au moins une certification en langue anglaise faisant l'objet d'une évaluation externe </w:t>
      </w:r>
      <w:r w:rsidR="00C22FB9" w:rsidRPr="00966CF4">
        <w:t xml:space="preserve">ou interne </w:t>
      </w:r>
      <w:r w:rsidRPr="00B26653">
        <w:t>et reconnue au niveau international et par le monde socioéconomique.</w:t>
      </w:r>
    </w:p>
    <w:p w14:paraId="7B6CCFEA" w14:textId="58003D6C" w:rsidR="004C192F" w:rsidRDefault="003D55C2" w:rsidP="009F763E">
      <w:pPr>
        <w:pStyle w:val="Titre2"/>
      </w:pPr>
      <w:r>
        <w:t>V</w:t>
      </w:r>
      <w:r w:rsidR="004C192F" w:rsidRPr="00FC1251">
        <w:t>alidation du stage/mémoire</w:t>
      </w:r>
    </w:p>
    <w:p w14:paraId="51DA6F73" w14:textId="4134A63F" w:rsidR="00232581" w:rsidRDefault="00232581" w:rsidP="00551AAE">
      <w:pPr>
        <w:pStyle w:val="Texte"/>
      </w:pPr>
      <w:r>
        <w:t xml:space="preserve">La durée du </w:t>
      </w:r>
      <w:r w:rsidRPr="00232581">
        <w:t>stage est de 12 à 16 semaines à plein temps (au mini</w:t>
      </w:r>
      <w:r>
        <w:t>mum) pour la formation initiale</w:t>
      </w:r>
      <w:r w:rsidRPr="00232581">
        <w:t>.</w:t>
      </w:r>
    </w:p>
    <w:p w14:paraId="296E5ADD" w14:textId="7EBFF7C3" w:rsidR="009C760A" w:rsidRDefault="006371EB" w:rsidP="00551AAE">
      <w:pPr>
        <w:pStyle w:val="Texte"/>
      </w:pPr>
      <w:r w:rsidRPr="006371EB">
        <w:t xml:space="preserve">Le stage </w:t>
      </w:r>
      <w:r>
        <w:t xml:space="preserve">et le projet </w:t>
      </w:r>
      <w:proofErr w:type="spellStart"/>
      <w:r>
        <w:t>tutoré</w:t>
      </w:r>
      <w:proofErr w:type="spellEnd"/>
      <w:r>
        <w:t xml:space="preserve"> impliquent</w:t>
      </w:r>
      <w:r w:rsidRPr="006371EB">
        <w:t xml:space="preserve"> l'élaboration d'un mémoire ou d'un rapport qui donner</w:t>
      </w:r>
      <w:r>
        <w:t>a</w:t>
      </w:r>
      <w:r w:rsidRPr="006371EB">
        <w:t xml:space="preserve"> lieu à une soutenance orale.</w:t>
      </w:r>
    </w:p>
    <w:p w14:paraId="2590FE62" w14:textId="0537BEFC" w:rsidR="00F53B0A" w:rsidRPr="009C760A" w:rsidRDefault="00F53B0A" w:rsidP="00551AAE">
      <w:pPr>
        <w:pStyle w:val="Texte"/>
      </w:pPr>
      <w:r w:rsidRPr="00F53B0A">
        <w:t>Concernant le stage</w:t>
      </w:r>
      <w:r w:rsidR="00966CF4">
        <w:t xml:space="preserve"> ou les activités en entreprises</w:t>
      </w:r>
      <w:r w:rsidRPr="00F53B0A">
        <w:t>, la note est la moyenne de trois volets : entreprise</w:t>
      </w:r>
      <w:r w:rsidR="005A1955">
        <w:t xml:space="preserve"> </w:t>
      </w:r>
      <w:r w:rsidR="005A1955" w:rsidRPr="00966CF4">
        <w:t>(note issue de l’appréciation du stage par l’entreprise)</w:t>
      </w:r>
      <w:r w:rsidRPr="00F53B0A">
        <w:t xml:space="preserve">, rapport et soutenance ; l’absence de l’une des trois notes </w:t>
      </w:r>
      <w:r w:rsidR="005A1955" w:rsidRPr="00966CF4">
        <w:t xml:space="preserve">ne permet pas </w:t>
      </w:r>
      <w:r w:rsidRPr="00F53B0A">
        <w:t xml:space="preserve">la validation du stage. Le coefficient appliqué à chacune de ces 3 notes </w:t>
      </w:r>
      <w:r>
        <w:t>est</w:t>
      </w:r>
      <w:r w:rsidRPr="00F53B0A">
        <w:t xml:space="preserve"> précisé par chaque </w:t>
      </w:r>
      <w:r>
        <w:t>responsable de parcours</w:t>
      </w:r>
      <w:r w:rsidRPr="00F53B0A">
        <w:t xml:space="preserve"> et porté à la connaissance des étudiants.</w:t>
      </w:r>
    </w:p>
    <w:p w14:paraId="6B58619F" w14:textId="5AB93673" w:rsidR="004C192F" w:rsidRDefault="004C192F" w:rsidP="009F763E">
      <w:pPr>
        <w:pStyle w:val="Titre2"/>
      </w:pPr>
      <w:r w:rsidRPr="00FC1251">
        <w:t xml:space="preserve">Validation des </w:t>
      </w:r>
      <w:r w:rsidR="00BD62F8">
        <w:t>activités sportives et culturelles</w:t>
      </w:r>
    </w:p>
    <w:p w14:paraId="3CEE5DD2" w14:textId="7836A3C6" w:rsidR="00BD62F8" w:rsidRPr="008C237A" w:rsidRDefault="00BD62F8" w:rsidP="00551AAE">
      <w:pPr>
        <w:pStyle w:val="Texte"/>
      </w:pPr>
      <w:r w:rsidRPr="00BD62F8">
        <w:t>Les activités sportives et culturelles considérées sont celles organisées par les services compétents de l'Université Sorbonne Paris Nord.</w:t>
      </w:r>
      <w:r w:rsidR="00E047AB">
        <w:t xml:space="preserve"> </w:t>
      </w:r>
      <w:r w:rsidRPr="00BD62F8">
        <w:t xml:space="preserve">Chaque activité donne lieu à une note (ou moyenne de notes) sur 20, par semestre, par étudiant et par activité, fournie au </w:t>
      </w:r>
      <w:r w:rsidR="00482DBF">
        <w:t>responsable du parcours</w:t>
      </w:r>
      <w:r w:rsidRPr="00BD62F8">
        <w:t xml:space="preserve"> par l’intervenant. </w:t>
      </w:r>
      <w:r w:rsidRPr="008C237A">
        <w:t xml:space="preserve">Les points à retenir </w:t>
      </w:r>
      <w:r w:rsidR="00E047AB">
        <w:t xml:space="preserve">sont les suivants </w:t>
      </w:r>
      <w:r w:rsidRPr="008C237A">
        <w:t>:</w:t>
      </w:r>
    </w:p>
    <w:p w14:paraId="1F921C41" w14:textId="77777777" w:rsidR="00BD62F8" w:rsidRPr="00BD62F8" w:rsidRDefault="00BD62F8" w:rsidP="00551AAE">
      <w:pPr>
        <w:pStyle w:val="Tiret"/>
      </w:pPr>
      <w:r w:rsidRPr="00BD62F8">
        <w:lastRenderedPageBreak/>
        <w:t>Il ne faut tenir compte que des points au-dessus de 10 sur 20 qui sont multipliés par 0.05 pour constituer le bonus de l’activité.</w:t>
      </w:r>
    </w:p>
    <w:p w14:paraId="4352B0B8" w14:textId="77777777" w:rsidR="00BD62F8" w:rsidRPr="00BD62F8" w:rsidRDefault="00BD62F8" w:rsidP="00551AAE">
      <w:pPr>
        <w:pStyle w:val="Tiret"/>
      </w:pPr>
      <w:r w:rsidRPr="00BD62F8">
        <w:t xml:space="preserve">Le cumul des bonus connait un plafond à 0.5. </w:t>
      </w:r>
    </w:p>
    <w:p w14:paraId="0BCCA455" w14:textId="7E670C14" w:rsidR="00067795" w:rsidRDefault="00BD62F8" w:rsidP="00551AAE">
      <w:pPr>
        <w:pStyle w:val="Texte"/>
      </w:pPr>
      <w:r w:rsidRPr="00BD62F8">
        <w:t>L</w:t>
      </w:r>
      <w:r w:rsidR="00E047AB">
        <w:t>e</w:t>
      </w:r>
      <w:r w:rsidRPr="00BD62F8">
        <w:t xml:space="preserve"> cumul des bonus </w:t>
      </w:r>
      <w:r w:rsidR="00482DBF" w:rsidRPr="00482DBF">
        <w:t xml:space="preserve">n’intervient pas dans </w:t>
      </w:r>
      <w:r w:rsidR="00482DBF">
        <w:t>le calcul</w:t>
      </w:r>
      <w:r w:rsidR="00482DBF" w:rsidRPr="00482DBF">
        <w:t xml:space="preserve"> des moyennes des unités d’enseignement mais uniquement dans la moyenne générale</w:t>
      </w:r>
      <w:r w:rsidR="00C22FB9">
        <w:t xml:space="preserve"> </w:t>
      </w:r>
      <w:r w:rsidR="00C22FB9" w:rsidRPr="00966CF4">
        <w:t>du semestre au cours duquel les activités sont organisées</w:t>
      </w:r>
      <w:r w:rsidR="00E047AB">
        <w:t>.</w:t>
      </w:r>
    </w:p>
    <w:p w14:paraId="7AB0F1E5" w14:textId="4D297681" w:rsidR="008D6B1F" w:rsidRDefault="00B70157" w:rsidP="009F763E">
      <w:pPr>
        <w:pStyle w:val="Titre1"/>
      </w:pPr>
      <w:r>
        <w:t>R</w:t>
      </w:r>
      <w:r w:rsidR="004C192F" w:rsidRPr="00BE16FE">
        <w:t>ègles d’assiduité</w:t>
      </w:r>
      <w:r w:rsidR="008D6B1F" w:rsidRPr="00BE16FE">
        <w:t xml:space="preserve"> et </w:t>
      </w:r>
      <w:r w:rsidR="00AD5476">
        <w:t xml:space="preserve">de </w:t>
      </w:r>
      <w:r w:rsidR="007268CB" w:rsidRPr="00BE16FE">
        <w:t>d</w:t>
      </w:r>
      <w:r w:rsidR="008D6B1F" w:rsidRPr="00BE16FE">
        <w:t>éfaillance</w:t>
      </w:r>
    </w:p>
    <w:p w14:paraId="3E47DDDD" w14:textId="3A506B5A" w:rsidR="00C06F00" w:rsidRDefault="00A424B6" w:rsidP="009F763E">
      <w:pPr>
        <w:pStyle w:val="Titre2"/>
      </w:pPr>
      <w:r>
        <w:t>O</w:t>
      </w:r>
      <w:r w:rsidR="008B19CC">
        <w:t xml:space="preserve">bligation </w:t>
      </w:r>
      <w:r w:rsidR="00C06F00">
        <w:t>d’assiduité </w:t>
      </w:r>
      <w:r>
        <w:t>et prise en compte du nombre d’absences</w:t>
      </w:r>
    </w:p>
    <w:p w14:paraId="2B5B1FB4" w14:textId="7BC6A478" w:rsidR="001A57FC" w:rsidRPr="001A57FC" w:rsidRDefault="0079725C" w:rsidP="00551AAE">
      <w:pPr>
        <w:pStyle w:val="Texte"/>
        <w:rPr>
          <w:lang w:eastAsia="fr-FR"/>
        </w:rPr>
      </w:pPr>
      <w:r w:rsidRPr="00966CF4">
        <w:t>Conformément à l’arrêté du 30 juillet 2019 définissant le cadre national de scolarité et d'assiduité des étudiants inscrits dans une formation relevant du ministère chargé de l'enseignement supérieur,</w:t>
      </w:r>
      <w:r>
        <w:t xml:space="preserve"> l</w:t>
      </w:r>
      <w:r w:rsidR="001A57FC" w:rsidRPr="001A57FC">
        <w:t xml:space="preserve">’assiduité à toutes les activités pédagogiques organisées dans le cadre de la </w:t>
      </w:r>
      <w:r w:rsidR="00024F27">
        <w:t>Licence Professionnelle sur un an</w:t>
      </w:r>
      <w:r w:rsidR="001A57FC" w:rsidRPr="001A57FC">
        <w:t xml:space="preserve"> est obligatoire. Elle concerne donc </w:t>
      </w:r>
      <w:r w:rsidR="001A57FC" w:rsidRPr="00551AAE">
        <w:t>l'ensemble des activités d'enseignement</w:t>
      </w:r>
      <w:r w:rsidR="001A57FC" w:rsidRPr="001A57FC">
        <w:t xml:space="preserve"> (cours, travaux dirigés, travaux pratiques, ateliers, contrôle des connaissances, conférences à caractère obligatoire, stages, visites...) et </w:t>
      </w:r>
      <w:r w:rsidR="001A57FC" w:rsidRPr="00551AAE">
        <w:t>toutes les épreuves du contrôle continu</w:t>
      </w:r>
      <w:r w:rsidR="001A57FC" w:rsidRPr="001A57FC">
        <w:t xml:space="preserve">. </w:t>
      </w:r>
      <w:r w:rsidR="001A57FC" w:rsidRPr="001A57FC">
        <w:rPr>
          <w:lang w:eastAsia="fr-FR"/>
        </w:rPr>
        <w:t xml:space="preserve">La présence est obligatoire jusqu'à la date fixée </w:t>
      </w:r>
      <w:r w:rsidRPr="00966CF4">
        <w:rPr>
          <w:lang w:eastAsia="fr-FR"/>
        </w:rPr>
        <w:t xml:space="preserve">pour la </w:t>
      </w:r>
      <w:r w:rsidR="001A57FC" w:rsidRPr="001A57FC">
        <w:rPr>
          <w:lang w:eastAsia="fr-FR"/>
        </w:rPr>
        <w:t xml:space="preserve">fin d'année universitaire et indiquée sur le calendrier de chaque </w:t>
      </w:r>
      <w:r w:rsidRPr="00966CF4">
        <w:rPr>
          <w:lang w:eastAsia="fr-FR"/>
        </w:rPr>
        <w:t>parcours</w:t>
      </w:r>
      <w:r w:rsidR="001A57FC" w:rsidRPr="001A57FC">
        <w:rPr>
          <w:lang w:eastAsia="fr-FR"/>
        </w:rPr>
        <w:t>.</w:t>
      </w:r>
    </w:p>
    <w:p w14:paraId="61DBFE40" w14:textId="0EA08FA6" w:rsidR="001A57FC" w:rsidRPr="001A57FC" w:rsidRDefault="001A57FC" w:rsidP="00551AAE">
      <w:pPr>
        <w:pStyle w:val="Texte"/>
      </w:pPr>
      <w:r w:rsidRPr="001A57FC">
        <w:t>Pour les boursiers</w:t>
      </w:r>
      <w:r w:rsidRPr="00966CF4">
        <w:t xml:space="preserve">, </w:t>
      </w:r>
      <w:r w:rsidR="0079725C" w:rsidRPr="00966CF4">
        <w:t xml:space="preserve">l’assiduité </w:t>
      </w:r>
      <w:r w:rsidRPr="001A57FC">
        <w:t xml:space="preserve">conditionne le versement de leur bourse (décret 51-445 du 16 avril 1951). Le cas des étudiant(e)s qui ont un mandat syndical et/ou électif sera pris en considération </w:t>
      </w:r>
      <w:r w:rsidRPr="001A57FC">
        <w:rPr>
          <w:i/>
        </w:rPr>
        <w:t>a priori</w:t>
      </w:r>
      <w:r w:rsidRPr="001A57FC">
        <w:t xml:space="preserve"> mais non </w:t>
      </w:r>
      <w:r w:rsidRPr="001A57FC">
        <w:rPr>
          <w:i/>
        </w:rPr>
        <w:t>a posteriori</w:t>
      </w:r>
      <w:r w:rsidRPr="001A57FC">
        <w:t>.</w:t>
      </w:r>
    </w:p>
    <w:p w14:paraId="4FB5D07D" w14:textId="77777777" w:rsidR="001A57FC" w:rsidRPr="001A57FC" w:rsidRDefault="001A57FC" w:rsidP="00551AAE">
      <w:pPr>
        <w:pStyle w:val="Texte"/>
      </w:pPr>
      <w:r w:rsidRPr="001A57FC">
        <w:t xml:space="preserve">Le contrôle des absences est placé sous la responsabilité de chaque enseignant. Les feuilles de présence doivent être obligatoirement signées par chaque étudiant et par chaque enseignant pour chaque séance. </w:t>
      </w:r>
      <w:r w:rsidRPr="00551AAE">
        <w:t>Elles doivent être remises aux secrétariats des départements et/ou directeurs des études par les enseignants dès la fin de la séance</w:t>
      </w:r>
      <w:r w:rsidRPr="001A57FC">
        <w:t>.</w:t>
      </w:r>
    </w:p>
    <w:p w14:paraId="0D0C3330" w14:textId="775EF419" w:rsidR="001A57FC" w:rsidRPr="008C237A" w:rsidRDefault="001A57FC" w:rsidP="00551AAE">
      <w:pPr>
        <w:pStyle w:val="Texte"/>
      </w:pPr>
      <w:r w:rsidRPr="001A57FC">
        <w:t xml:space="preserve">L’exclusion d’un étudiant par un enseignant lors d’une activité d’enseignement devra être indiquée sur la feuille de présence. Elle </w:t>
      </w:r>
      <w:r w:rsidR="0079725C" w:rsidRPr="00222C34">
        <w:t xml:space="preserve">ne </w:t>
      </w:r>
      <w:r w:rsidRPr="00222C34">
        <w:t xml:space="preserve">correspond </w:t>
      </w:r>
      <w:r w:rsidR="0079725C" w:rsidRPr="00222C34">
        <w:t xml:space="preserve">pas </w:t>
      </w:r>
      <w:r w:rsidRPr="001A57FC">
        <w:t>à une absence</w:t>
      </w:r>
      <w:r w:rsidRPr="00F11290">
        <w:t>.</w:t>
      </w:r>
    </w:p>
    <w:p w14:paraId="281481DE" w14:textId="10B48D1C" w:rsidR="001A57FC" w:rsidRPr="001A57FC" w:rsidRDefault="001A57FC" w:rsidP="00551AAE">
      <w:pPr>
        <w:pStyle w:val="Texte"/>
      </w:pPr>
      <w:r w:rsidRPr="001A57FC">
        <w:t xml:space="preserve">Toute absence doit être justifiée auprès de la direction des études et/ou du secrétariat du département dans les </w:t>
      </w:r>
      <w:r w:rsidRPr="00551AAE">
        <w:t>deux jours ouvrés à partir du premier jour d’absence en cours</w:t>
      </w:r>
      <w:r w:rsidR="00A45161">
        <w:t xml:space="preserve"> </w:t>
      </w:r>
      <w:r w:rsidR="00A45161" w:rsidRPr="00222C34">
        <w:t>(sauf empêchement avéré)</w:t>
      </w:r>
      <w:r w:rsidRPr="00551AAE">
        <w:t>.</w:t>
      </w:r>
      <w:r w:rsidRPr="001A57FC">
        <w:t xml:space="preserve"> A défaut de justificatif d’absence recevable, fourni dans les délais, l’absence sera considérée comme </w:t>
      </w:r>
      <w:r w:rsidRPr="00551AAE">
        <w:t>non justifiée.</w:t>
      </w:r>
    </w:p>
    <w:p w14:paraId="35C6FBCA" w14:textId="77777777" w:rsidR="001A57FC" w:rsidRPr="001A57FC" w:rsidRDefault="001A57FC" w:rsidP="00551AAE">
      <w:pPr>
        <w:pStyle w:val="Texte"/>
      </w:pPr>
      <w:r w:rsidRPr="001A57FC">
        <w:t>Seuls sont recevables les justificatifs suivants :</w:t>
      </w:r>
    </w:p>
    <w:p w14:paraId="2DB63B91" w14:textId="4D81C2EB" w:rsidR="001A57FC" w:rsidRPr="001A57FC" w:rsidRDefault="001A57FC" w:rsidP="00551AAE">
      <w:pPr>
        <w:pStyle w:val="Tiret"/>
      </w:pPr>
      <w:r w:rsidRPr="001A57FC">
        <w:t>Certificat médical daté et tamponné (maladie et accident de l’étudiant ou de ses enfants</w:t>
      </w:r>
      <w:r w:rsidR="00D21343" w:rsidRPr="00D21343">
        <w:rPr>
          <w:color w:val="FF0000"/>
        </w:rPr>
        <w:t xml:space="preserve"> </w:t>
      </w:r>
      <w:r w:rsidR="00D21343" w:rsidRPr="00551AAE">
        <w:t>empêchant la présence en cours). Toute attestation justifiant la présence à un rendez-vous médical en dehors du cas cité ne saurait être considérée comme un justificatif recevable,</w:t>
      </w:r>
      <w:r w:rsidRPr="00551AAE">
        <w:t xml:space="preserve"> </w:t>
      </w:r>
    </w:p>
    <w:p w14:paraId="4317F295" w14:textId="77777777" w:rsidR="001A57FC" w:rsidRPr="001A57FC" w:rsidRDefault="001A57FC" w:rsidP="00551AAE">
      <w:pPr>
        <w:pStyle w:val="Tiret"/>
      </w:pPr>
      <w:r w:rsidRPr="001A57FC">
        <w:t xml:space="preserve">Acte officiel (mariage de l’étudiant, naissance de son enfant, décès d’un parent proche : conjoint, enfant, parents, grands-parents, frères et sœurs), </w:t>
      </w:r>
    </w:p>
    <w:p w14:paraId="08C20DDB" w14:textId="77777777" w:rsidR="001A57FC" w:rsidRPr="001A57FC" w:rsidRDefault="001A57FC" w:rsidP="00551AAE">
      <w:pPr>
        <w:pStyle w:val="Tiret"/>
      </w:pPr>
      <w:r w:rsidRPr="001A57FC">
        <w:t xml:space="preserve">Convocation nominative </w:t>
      </w:r>
      <w:r w:rsidRPr="00551AAE">
        <w:t>officielle</w:t>
      </w:r>
      <w:r w:rsidRPr="001A57FC">
        <w:t xml:space="preserve"> (permis de conduire, tribunal, services administratifs publics, commissariats, ambassades et consulats).</w:t>
      </w:r>
    </w:p>
    <w:p w14:paraId="179A483A" w14:textId="77777777" w:rsidR="001A57FC" w:rsidRPr="001A57FC" w:rsidRDefault="001A57FC" w:rsidP="00551AAE">
      <w:pPr>
        <w:pStyle w:val="Texte"/>
      </w:pPr>
      <w:r w:rsidRPr="001A57FC">
        <w:t>Seuls les documents originaux (datés, signés, avec cachet et ne comportant aucune rature) seront acceptés. La production d’un faux justificatif constitue un délit (article 441-1 du code pénal) qui expose son auteur à des sanctions pénales et disciplinaires.</w:t>
      </w:r>
    </w:p>
    <w:p w14:paraId="14D19F5B" w14:textId="77777777" w:rsidR="001A57FC" w:rsidRPr="001A57FC" w:rsidRDefault="001A57FC" w:rsidP="00551AAE">
      <w:pPr>
        <w:pStyle w:val="Texte"/>
      </w:pPr>
      <w:r w:rsidRPr="001A57FC">
        <w:lastRenderedPageBreak/>
        <w:t>Tout manquement au contrôle continu non justifié sera sanctionné par la note zéro, quel que soit le motif. A charge de l’étudiant d’engager une procédure de justification conformément aux modalités ci-dessus rappelées.</w:t>
      </w:r>
    </w:p>
    <w:p w14:paraId="48DB2812" w14:textId="15F1B8EB" w:rsidR="001A57FC" w:rsidRPr="001A57FC" w:rsidRDefault="001A57FC" w:rsidP="00551AAE">
      <w:pPr>
        <w:pStyle w:val="Texte"/>
      </w:pPr>
      <w:r w:rsidRPr="001A57FC">
        <w:t xml:space="preserve">Toute absence justifiée à un devoir surveillé donne droit à un </w:t>
      </w:r>
      <w:r w:rsidR="008227EB" w:rsidRPr="00222C34">
        <w:t xml:space="preserve">devoir de remplacement </w:t>
      </w:r>
      <w:r w:rsidRPr="001A57FC">
        <w:t>pour l’étudiant(e) concerné(e). L’absence au rattrapage d’un devoir surveillé, que cette absence soit justifiée ou pas, entraîne automatiquement la note de zéro. Les travaux pratiques ne sont pas rattrapables, quel que soit le motif.</w:t>
      </w:r>
    </w:p>
    <w:p w14:paraId="1A9D155B" w14:textId="40A8F045" w:rsidR="001A57FC" w:rsidRPr="001A57FC" w:rsidRDefault="001A57FC" w:rsidP="00551AAE">
      <w:pPr>
        <w:pStyle w:val="Texte"/>
        <w:rPr>
          <w:b/>
        </w:rPr>
      </w:pPr>
      <w:r w:rsidRPr="001A57FC">
        <w:t xml:space="preserve">L’assiduité faisant partie des modalités pédagogiques intégrées dans le cadre du contrôle continu </w:t>
      </w:r>
      <w:r w:rsidRPr="00551AAE">
        <w:t>d</w:t>
      </w:r>
      <w:r w:rsidR="00743F06" w:rsidRPr="00551AAE">
        <w:t>e la L</w:t>
      </w:r>
      <w:r w:rsidR="009307F4" w:rsidRPr="00551AAE">
        <w:t xml:space="preserve">icence </w:t>
      </w:r>
      <w:r w:rsidR="00743F06" w:rsidRPr="00551AAE">
        <w:t>P</w:t>
      </w:r>
      <w:r w:rsidR="009307F4" w:rsidRPr="00551AAE">
        <w:t>rofessionnelle</w:t>
      </w:r>
      <w:r w:rsidRPr="001A57FC">
        <w:t xml:space="preserve">, les étudiants ayant des absences non justifiées verront la note de l’activité pédagogique correspondante minorée selon le nombre total des absences. La pondération appliquée sera la suivante : </w:t>
      </w:r>
    </w:p>
    <w:p w14:paraId="1748FD3B" w14:textId="63C7BE20" w:rsidR="001A57FC" w:rsidRDefault="00A47F5C" w:rsidP="001A57FC">
      <w:pPr>
        <w:tabs>
          <w:tab w:val="left" w:pos="0"/>
          <w:tab w:val="left" w:pos="669"/>
          <w:tab w:val="left" w:pos="686"/>
        </w:tabs>
        <w:spacing w:before="200" w:line="276" w:lineRule="auto"/>
        <w:jc w:val="center"/>
        <w:rPr>
          <w:b/>
          <w:color w:val="000000" w:themeColor="text1"/>
          <w:lang w:val="fr-FR"/>
        </w:rPr>
      </w:pPr>
      <m:oMath>
        <m:sSub>
          <m:sSubPr>
            <m:ctrlPr>
              <w:rPr>
                <w:rFonts w:ascii="Cambria Math" w:hAnsi="Cambria Math" w:cstheme="majorHAnsi"/>
                <w:b/>
                <w:i/>
                <w:color w:val="000000" w:themeColor="text1"/>
              </w:rPr>
            </m:ctrlPr>
          </m:sSubPr>
          <m:e>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Note</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activit</m:t>
            </m:r>
            <m:r>
              <m:rPr>
                <m:sty m:val="bi"/>
              </m:rPr>
              <w:rPr>
                <w:rFonts w:ascii="Cambria Math" w:hAnsi="Cambria Math" w:cstheme="majorHAnsi"/>
                <w:color w:val="000000" w:themeColor="text1"/>
                <w:lang w:val="fr-FR"/>
              </w:rPr>
              <m:t>é )</m:t>
            </m:r>
          </m:e>
          <m:sub>
            <m:r>
              <m:rPr>
                <m:sty m:val="bi"/>
              </m:rPr>
              <w:rPr>
                <w:rFonts w:ascii="Cambria Math" w:hAnsi="Cambria Math" w:cstheme="majorHAnsi"/>
                <w:color w:val="000000" w:themeColor="text1"/>
              </w:rPr>
              <m:t>pond</m:t>
            </m:r>
            <m:r>
              <m:rPr>
                <m:sty m:val="bi"/>
              </m:rPr>
              <w:rPr>
                <w:rFonts w:ascii="Cambria Math" w:hAnsi="Cambria Math" w:cstheme="majorHAnsi"/>
                <w:color w:val="000000" w:themeColor="text1"/>
                <w:lang w:val="fr-FR"/>
              </w:rPr>
              <m:t>é</m:t>
            </m:r>
            <m:r>
              <m:rPr>
                <m:sty m:val="bi"/>
              </m:rPr>
              <w:rPr>
                <w:rFonts w:ascii="Cambria Math" w:hAnsi="Cambria Math" w:cstheme="majorHAnsi"/>
                <w:color w:val="000000" w:themeColor="text1"/>
              </w:rPr>
              <m:t>r</m:t>
            </m:r>
            <m:r>
              <m:rPr>
                <m:sty m:val="bi"/>
              </m:rPr>
              <w:rPr>
                <w:rFonts w:ascii="Cambria Math" w:hAnsi="Cambria Math" w:cstheme="majorHAnsi"/>
                <w:color w:val="000000" w:themeColor="text1"/>
                <w:lang w:val="fr-FR"/>
              </w:rPr>
              <m:t>é</m:t>
            </m:r>
            <m:r>
              <m:rPr>
                <m:sty m:val="bi"/>
              </m:rPr>
              <w:rPr>
                <w:rFonts w:ascii="Cambria Math" w:hAnsi="Cambria Math" w:cstheme="majorHAnsi"/>
                <w:color w:val="000000" w:themeColor="text1"/>
              </w:rPr>
              <m:t>e</m:t>
            </m:r>
          </m:sub>
        </m:sSub>
        <m:r>
          <m:rPr>
            <m:sty m:val="bi"/>
          </m:rPr>
          <w:rPr>
            <w:rFonts w:ascii="Cambria Math" w:hAnsi="Cambria Math" w:cstheme="majorHAnsi"/>
            <w:color w:val="000000" w:themeColor="text1"/>
            <w:lang w:val="fr-FR"/>
          </w:rPr>
          <m:t xml:space="preserve"> </m:t>
        </m:r>
      </m:oMath>
      <w:r w:rsidR="001A57FC" w:rsidRPr="001A57FC">
        <w:rPr>
          <w:rFonts w:asciiTheme="majorHAnsi" w:hAnsiTheme="majorHAnsi" w:cstheme="majorHAnsi"/>
          <w:b/>
          <w:color w:val="000000" w:themeColor="text1"/>
          <w:lang w:val="fr-FR"/>
        </w:rPr>
        <w:t>=</w:t>
      </w:r>
      <w:r w:rsidR="001A57FC" w:rsidRPr="001A57FC">
        <w:rPr>
          <w:b/>
          <w:color w:val="000000" w:themeColor="text1"/>
          <w:lang w:val="fr-FR"/>
        </w:rPr>
        <w:t xml:space="preserve"> </w:t>
      </w:r>
      <w:r w:rsidR="001A57FC" w:rsidRPr="001A57FC">
        <w:rPr>
          <w:rFonts w:asciiTheme="majorHAnsi" w:hAnsiTheme="majorHAnsi" w:cstheme="majorHAnsi"/>
          <w:b/>
          <w:color w:val="000000" w:themeColor="text1"/>
          <w:lang w:val="fr-FR"/>
        </w:rPr>
        <w:t>Note x (1 -</w:t>
      </w:r>
      <w:r w:rsidR="001A57FC" w:rsidRPr="001A57FC">
        <w:rPr>
          <w:b/>
          <w:color w:val="000000" w:themeColor="text1"/>
          <w:lang w:val="fr-FR"/>
        </w:rPr>
        <w:t xml:space="preserve"> </w:t>
      </w:r>
      <m:oMath>
        <m:f>
          <m:fPr>
            <m:ctrlPr>
              <w:rPr>
                <w:rFonts w:ascii="Cambria Math" w:hAnsi="Cambria Math" w:cstheme="majorHAnsi"/>
                <w:b/>
                <w:i/>
                <w:color w:val="000000" w:themeColor="text1"/>
              </w:rPr>
            </m:ctrlPr>
          </m:fPr>
          <m:num>
            <m:r>
              <m:rPr>
                <m:sty m:val="bi"/>
              </m:rPr>
              <w:rPr>
                <w:rFonts w:ascii="Cambria Math" w:hAnsi="Cambria Math" w:cstheme="majorHAnsi"/>
                <w:color w:val="000000" w:themeColor="text1"/>
              </w:rPr>
              <m:t>Nombre</m:t>
            </m:r>
            <m:r>
              <m:rPr>
                <m:sty m:val="bi"/>
              </m:rPr>
              <w:rPr>
                <w:rFonts w:ascii="Cambria Math" w:hAnsi="Cambria Math" w:cstheme="majorHAnsi"/>
                <w:color w:val="000000" w:themeColor="text1"/>
                <w:lang w:val="fr-FR"/>
              </w:rPr>
              <m:t xml:space="preserve">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lang w:val="fr-FR"/>
                  </w:rPr>
                  <m:t>'</m:t>
                </m:r>
              </m:sup>
            </m:sSup>
            <m:r>
              <m:rPr>
                <m:sty m:val="bi"/>
              </m:rPr>
              <w:rPr>
                <w:rFonts w:ascii="Cambria Math" w:hAnsi="Cambria Math" w:cstheme="majorHAnsi"/>
                <w:color w:val="000000" w:themeColor="text1"/>
              </w:rPr>
              <m:t>heures</m:t>
            </m:r>
            <m:r>
              <m:rPr>
                <m:sty m:val="bi"/>
              </m:rPr>
              <w:rPr>
                <w:rFonts w:ascii="Cambria Math" w:hAnsi="Cambria Math" w:cstheme="majorHAnsi"/>
                <w:color w:val="000000" w:themeColor="text1"/>
                <w:lang w:val="fr-FR"/>
              </w:rPr>
              <m:t xml:space="preserve">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lang w:val="fr-FR"/>
                  </w:rPr>
                  <m:t>'</m:t>
                </m:r>
              </m:sup>
            </m:sSup>
            <m:r>
              <m:rPr>
                <m:sty m:val="bi"/>
              </m:rPr>
              <w:rPr>
                <w:rFonts w:ascii="Cambria Math" w:hAnsi="Cambria Math" w:cstheme="majorHAnsi"/>
                <w:color w:val="000000" w:themeColor="text1"/>
              </w:rPr>
              <m:t>absences</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non</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justifi</m:t>
            </m:r>
            <m:r>
              <m:rPr>
                <m:sty m:val="bi"/>
              </m:rPr>
              <w:rPr>
                <w:rFonts w:ascii="Cambria Math" w:hAnsi="Cambria Math" w:cstheme="majorHAnsi"/>
                <w:color w:val="000000" w:themeColor="text1"/>
                <w:lang w:val="fr-FR"/>
              </w:rPr>
              <m:t>é</m:t>
            </m:r>
            <m:r>
              <m:rPr>
                <m:sty m:val="bi"/>
              </m:rPr>
              <w:rPr>
                <w:rFonts w:ascii="Cambria Math" w:hAnsi="Cambria Math" w:cstheme="majorHAnsi"/>
                <w:color w:val="000000" w:themeColor="text1"/>
              </w:rPr>
              <m:t>es</m:t>
            </m:r>
          </m:num>
          <m:den>
            <m:r>
              <m:rPr>
                <m:sty m:val="bi"/>
              </m:rPr>
              <w:rPr>
                <w:rFonts w:ascii="Cambria Math" w:hAnsi="Cambria Math" w:cstheme="majorHAnsi"/>
                <w:color w:val="000000" w:themeColor="text1"/>
              </w:rPr>
              <m:t>Nombre</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total</m:t>
            </m:r>
            <m:r>
              <m:rPr>
                <m:sty m:val="bi"/>
              </m:rPr>
              <w:rPr>
                <w:rFonts w:ascii="Cambria Math" w:hAnsi="Cambria Math" w:cstheme="majorHAnsi"/>
                <w:color w:val="000000" w:themeColor="text1"/>
                <w:lang w:val="fr-FR"/>
              </w:rPr>
              <m:t xml:space="preserve">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lang w:val="fr-FR"/>
                  </w:rPr>
                  <m:t>'</m:t>
                </m:r>
              </m:sup>
            </m:sSup>
            <m:r>
              <m:rPr>
                <m:sty m:val="bi"/>
              </m:rPr>
              <w:rPr>
                <w:rFonts w:ascii="Cambria Math" w:hAnsi="Cambria Math" w:cstheme="majorHAnsi"/>
                <w:color w:val="000000" w:themeColor="text1"/>
              </w:rPr>
              <m:t>heures</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de</m:t>
            </m:r>
            <m:r>
              <m:rPr>
                <m:sty m:val="bi"/>
              </m:rPr>
              <w:rPr>
                <w:rFonts w:ascii="Cambria Math" w:hAnsi="Cambria Math" w:cstheme="majorHAnsi"/>
                <w:color w:val="000000" w:themeColor="text1"/>
                <w:lang w:val="fr-FR"/>
              </w:rPr>
              <m:t xml:space="preserve"> </m:t>
            </m:r>
            <m:r>
              <m:rPr>
                <m:sty m:val="bi"/>
              </m:rPr>
              <w:rPr>
                <w:rFonts w:ascii="Cambria Math" w:hAnsi="Cambria Math" w:cstheme="majorHAnsi"/>
                <w:color w:val="000000" w:themeColor="text1"/>
              </w:rPr>
              <m:t>l</m:t>
            </m:r>
            <m:r>
              <m:rPr>
                <m:sty m:val="bi"/>
              </m:rPr>
              <w:rPr>
                <w:rFonts w:ascii="Cambria Math" w:hAnsi="Cambria Math" w:cstheme="majorHAnsi"/>
                <w:color w:val="000000" w:themeColor="text1"/>
                <w:lang w:val="fr-FR"/>
              </w:rPr>
              <m:t>'</m:t>
            </m:r>
            <m:r>
              <m:rPr>
                <m:sty m:val="bi"/>
              </m:rPr>
              <w:rPr>
                <w:rFonts w:ascii="Cambria Math" w:hAnsi="Cambria Math" w:cstheme="majorHAnsi"/>
                <w:color w:val="000000" w:themeColor="text1"/>
              </w:rPr>
              <m:t>activit</m:t>
            </m:r>
            <m:r>
              <m:rPr>
                <m:sty m:val="bi"/>
              </m:rPr>
              <w:rPr>
                <w:rFonts w:ascii="Cambria Math" w:hAnsi="Cambria Math" w:cstheme="majorHAnsi"/>
                <w:color w:val="000000" w:themeColor="text1"/>
                <w:lang w:val="fr-FR"/>
              </w:rPr>
              <m:t>é</m:t>
            </m:r>
          </m:den>
        </m:f>
      </m:oMath>
      <w:r w:rsidR="001A57FC" w:rsidRPr="001A57FC">
        <w:rPr>
          <w:b/>
          <w:color w:val="000000" w:themeColor="text1"/>
          <w:lang w:val="fr-FR"/>
        </w:rPr>
        <w:t xml:space="preserve"> )</w:t>
      </w:r>
    </w:p>
    <w:p w14:paraId="00D5B642" w14:textId="7C810AF0" w:rsidR="00D21343" w:rsidRDefault="00D21343" w:rsidP="00551AAE">
      <w:pPr>
        <w:pStyle w:val="Texte"/>
      </w:pPr>
      <w:r w:rsidRPr="00551AAE">
        <w:t>Les heures correspondant aux évaluations (devoirs surveillés, interrogations écrites ou orales, …) sont prises en compte dans la pondération.</w:t>
      </w:r>
    </w:p>
    <w:p w14:paraId="2600ACA6" w14:textId="5EDB9952" w:rsidR="00E651E0" w:rsidRPr="00E651E0" w:rsidRDefault="00E651E0" w:rsidP="00E651E0">
      <w:pPr>
        <w:pStyle w:val="Texte"/>
        <w:rPr>
          <w:color w:val="FF0000"/>
        </w:rPr>
      </w:pPr>
      <w:r w:rsidRPr="00222C34">
        <w:t>Les étudiants relevant du régime spécial d’études comme, à titre d’exemples non limitatifs : aidants, salariés, en situation de handicap, sportifs de haut niveau, assumant des responsabilités particulières dans la vie universitaire, la vie étudiante ou associative, les sportifs de haut niveau …, peuvent demander la mise en place de l’aménagement des études au titre de ce régime. Les modalités d’éligibilité et de demandes sont en ligne sur le site de l’université dans la rubrique formation (</w:t>
      </w:r>
      <w:hyperlink r:id="rId8" w:history="1">
        <w:r w:rsidRPr="00015EC3">
          <w:rPr>
            <w:rStyle w:val="Lienhypertexte"/>
          </w:rPr>
          <w:t>https://www.univ-spn.fr/amenagement-des-etudes/</w:t>
        </w:r>
      </w:hyperlink>
      <w:r w:rsidRPr="00222C34">
        <w:t>).</w:t>
      </w:r>
    </w:p>
    <w:p w14:paraId="7D8DA3CD" w14:textId="75FB7E73" w:rsidR="00A45161" w:rsidRPr="001A57FC" w:rsidRDefault="00E651E0" w:rsidP="00E651E0">
      <w:pPr>
        <w:pStyle w:val="Texte"/>
      </w:pPr>
      <w:r w:rsidRPr="00222C34">
        <w:t>Les demandes doivent être faites en début de semestre ou lors de l’année universitaire lorsque la situation personnelle de l’étudiant évolue dans l’année. Il convient de compléter le formulaire de demande. Chaque demande fera l’objet d’un examen et d’une réponse écrite.</w:t>
      </w:r>
    </w:p>
    <w:p w14:paraId="18115AED" w14:textId="31292504" w:rsidR="00C06F00" w:rsidRDefault="001A57FC" w:rsidP="009F763E">
      <w:pPr>
        <w:pStyle w:val="Titre2"/>
      </w:pPr>
      <w:r>
        <w:t>R</w:t>
      </w:r>
      <w:r w:rsidR="00C06F00">
        <w:t>ègles en cas de défaillance</w:t>
      </w:r>
    </w:p>
    <w:p w14:paraId="1B198D21" w14:textId="4577BE5B" w:rsidR="00C06F00" w:rsidRPr="001A57FC" w:rsidRDefault="008227EB" w:rsidP="00551AAE">
      <w:pPr>
        <w:pStyle w:val="Texte"/>
        <w:rPr>
          <w:b/>
          <w:color w:val="1F497D" w:themeColor="text2"/>
        </w:rPr>
      </w:pPr>
      <w:r>
        <w:t>Lorsqu’un</w:t>
      </w:r>
      <w:r w:rsidR="001A57FC" w:rsidRPr="001A57FC">
        <w:t xml:space="preserve"> étudia</w:t>
      </w:r>
      <w:r>
        <w:t>nt est absent</w:t>
      </w:r>
      <w:r w:rsidR="001A57FC" w:rsidRPr="001A57FC">
        <w:t xml:space="preserve"> </w:t>
      </w:r>
      <w:r w:rsidR="001A57FC" w:rsidRPr="00551AAE">
        <w:t>à</w:t>
      </w:r>
      <w:r w:rsidR="00024F27" w:rsidRPr="00551AAE">
        <w:t xml:space="preserve"> l’ensemble des évaluations de l’année</w:t>
      </w:r>
      <w:r w:rsidR="001A57FC" w:rsidRPr="001A57FC">
        <w:t xml:space="preserve">, y compris les rattrapages, et quelle qu’en soit la raison, </w:t>
      </w:r>
      <w:r w:rsidR="001A57FC" w:rsidRPr="00551AAE">
        <w:t>il sera déclaré défaillant par le jury</w:t>
      </w:r>
      <w:r w:rsidR="001A57FC" w:rsidRPr="001A57FC">
        <w:t xml:space="preserve">, ce qui entraîne la non-validation </w:t>
      </w:r>
      <w:r w:rsidR="00024F27" w:rsidRPr="00551AAE">
        <w:t>la Licence Professionnelle sur un an</w:t>
      </w:r>
      <w:r w:rsidR="001A57FC" w:rsidRPr="001A57FC">
        <w:t>. Le bulletin de l’étudiant(e) concerné(e) affichera alors « DEF » pour défaillant. Ceci implique la non-comptabilisation des notes</w:t>
      </w:r>
      <w:r w:rsidR="00CB7E0F">
        <w:t xml:space="preserve"> </w:t>
      </w:r>
      <w:r w:rsidR="00CB7E0F" w:rsidRPr="00A24A38">
        <w:t>et</w:t>
      </w:r>
      <w:r w:rsidR="001A57FC" w:rsidRPr="00A24A38">
        <w:t xml:space="preserve"> </w:t>
      </w:r>
      <w:r w:rsidR="001A57FC" w:rsidRPr="00551AAE">
        <w:t>la possibilité</w:t>
      </w:r>
      <w:r w:rsidR="001A57FC" w:rsidRPr="001A57FC">
        <w:t xml:space="preserve"> de redoubler.</w:t>
      </w:r>
    </w:p>
    <w:p w14:paraId="2EABA9A1" w14:textId="5C86A28D" w:rsidR="004C192F" w:rsidRPr="00BE16FE" w:rsidRDefault="0045691E" w:rsidP="009F763E">
      <w:pPr>
        <w:pStyle w:val="Titre1"/>
      </w:pPr>
      <w:r>
        <w:t>R</w:t>
      </w:r>
      <w:r w:rsidR="004C192F" w:rsidRPr="00BE16FE">
        <w:t xml:space="preserve">ègles </w:t>
      </w:r>
      <w:r w:rsidR="00EA719C">
        <w:t>de poursuite des études</w:t>
      </w:r>
    </w:p>
    <w:p w14:paraId="6C47BC95" w14:textId="6A1BD8D3" w:rsidR="00511889" w:rsidRDefault="00511889" w:rsidP="009F763E">
      <w:pPr>
        <w:pStyle w:val="Titre2"/>
      </w:pPr>
      <w:r>
        <w:t>Règl</w:t>
      </w:r>
      <w:r w:rsidR="003B10D7">
        <w:t>e de redoublement</w:t>
      </w:r>
    </w:p>
    <w:p w14:paraId="4959F835" w14:textId="25890418" w:rsidR="003B10D7" w:rsidRDefault="00EA719C" w:rsidP="00551AAE">
      <w:pPr>
        <w:pStyle w:val="Texte"/>
      </w:pPr>
      <w:r>
        <w:t>Le redoublement n’est pas de droit.</w:t>
      </w:r>
    </w:p>
    <w:p w14:paraId="2574DDF8" w14:textId="63D7D820" w:rsidR="00826D23" w:rsidRDefault="00826D23" w:rsidP="009F763E">
      <w:pPr>
        <w:pStyle w:val="Titre2"/>
      </w:pPr>
      <w:r w:rsidRPr="00826D23">
        <w:t>Apprentissage et/ou alternance</w:t>
      </w:r>
    </w:p>
    <w:p w14:paraId="08022018" w14:textId="0B0C920A" w:rsidR="00826D23" w:rsidRPr="00826D23" w:rsidRDefault="00826D23" w:rsidP="00551AAE">
      <w:pPr>
        <w:pStyle w:val="Texte"/>
      </w:pPr>
      <w:r w:rsidRPr="00826D23">
        <w:t>La signature d’une convention de formation par apprentissage ou en alternance engage l’IUT de Saint-Denis, le CFA</w:t>
      </w:r>
      <w:r w:rsidR="00AD5476">
        <w:t xml:space="preserve"> et l’apprenti</w:t>
      </w:r>
      <w:r w:rsidRPr="00826D23">
        <w:t xml:space="preserve"> sur toute la durée du parcours. En conséquence et en application de l’article L 6222 11 du code du travail</w:t>
      </w:r>
      <w:r w:rsidR="005E64CF">
        <w:t>,</w:t>
      </w:r>
      <w:r>
        <w:t xml:space="preserve"> </w:t>
      </w:r>
      <w:r w:rsidR="005E64CF">
        <w:t>s</w:t>
      </w:r>
      <w:r w:rsidRPr="00826D23">
        <w:t xml:space="preserve">i le niveau académique de l’apprenti ne lui permet </w:t>
      </w:r>
      <w:r>
        <w:t xml:space="preserve">pas </w:t>
      </w:r>
      <w:r w:rsidRPr="00826D23">
        <w:t xml:space="preserve">d’obtenir </w:t>
      </w:r>
      <w:r w:rsidR="005E64CF">
        <w:t>la Licence Professionnelle sur un an, il pourra s</w:t>
      </w:r>
      <w:r w:rsidRPr="00826D23">
        <w:t xml:space="preserve">oit </w:t>
      </w:r>
      <w:r w:rsidR="005E64CF">
        <w:t>prolonger le</w:t>
      </w:r>
      <w:r w:rsidRPr="00826D23">
        <w:t xml:space="preserve"> contrat initial</w:t>
      </w:r>
      <w:r w:rsidR="005E64CF">
        <w:t xml:space="preserve">, soit conclure </w:t>
      </w:r>
      <w:r w:rsidRPr="00826D23">
        <w:t>un nouveau contrat avec un nouvel employeur</w:t>
      </w:r>
      <w:r w:rsidR="005E64CF">
        <w:t xml:space="preserve"> lorsque le redoublement est proposé par le jury</w:t>
      </w:r>
      <w:r w:rsidRPr="00826D23">
        <w:t>.</w:t>
      </w:r>
    </w:p>
    <w:p w14:paraId="1CD36A93" w14:textId="146E55A3" w:rsidR="004C192F" w:rsidRPr="00BE16FE" w:rsidRDefault="00C0196D" w:rsidP="009F763E">
      <w:pPr>
        <w:pStyle w:val="Titre1"/>
      </w:pPr>
      <w:r>
        <w:lastRenderedPageBreak/>
        <w:t>G</w:t>
      </w:r>
      <w:r w:rsidR="008D6B1F" w:rsidRPr="00BE16FE">
        <w:t xml:space="preserve">estion </w:t>
      </w:r>
      <w:r w:rsidR="001E3877">
        <w:t xml:space="preserve">du </w:t>
      </w:r>
      <w:r>
        <w:t>contrôle continu</w:t>
      </w:r>
    </w:p>
    <w:p w14:paraId="16CB9E45" w14:textId="06E663E2" w:rsidR="008D6B1F" w:rsidRDefault="00220F9A" w:rsidP="009F763E">
      <w:pPr>
        <w:pStyle w:val="Titre2"/>
      </w:pPr>
      <w:r w:rsidRPr="00220F9A">
        <w:t>Organisation de l’évaluation des connaissances</w:t>
      </w:r>
    </w:p>
    <w:p w14:paraId="4F89D9DA" w14:textId="77777777" w:rsidR="00C0196D" w:rsidRPr="00C0196D" w:rsidRDefault="00C0196D" w:rsidP="00551AAE">
      <w:pPr>
        <w:pStyle w:val="Texte"/>
      </w:pPr>
      <w:r w:rsidRPr="00C0196D">
        <w:t>L’acquisition des connaissances et des aptitudes est appréciée par un contrôle continu et régulier.</w:t>
      </w:r>
      <w:r>
        <w:t xml:space="preserve"> </w:t>
      </w:r>
      <w:r w:rsidRPr="00C0196D">
        <w:t>Le contrôle des connaissances se fait par des évaluations communes pouvant être effectuées pendant les cours, les TD, les TP ou lors des périodes prévues à cet effet. Leur programmation est laissée à l’appréciation de chaque responsable de discipline qui définit, en début d'année, les modalités d'évaluation. Celles-ci sont validées par le chef de département et communiquées aux étudiants en début d'année.</w:t>
      </w:r>
    </w:p>
    <w:p w14:paraId="76774D98" w14:textId="77777777" w:rsidR="00C0196D" w:rsidRPr="00C0196D" w:rsidRDefault="00C0196D" w:rsidP="00551AAE">
      <w:pPr>
        <w:pStyle w:val="Texte"/>
      </w:pPr>
      <w:r w:rsidRPr="00C0196D">
        <w:t xml:space="preserve">Le </w:t>
      </w:r>
      <w:r w:rsidRPr="00220F9A">
        <w:t>principe</w:t>
      </w:r>
      <w:r w:rsidRPr="00C0196D">
        <w:t xml:space="preserve"> du contrôle continu donnera lieu obligatoirement à au moins deux notes pour toute activité d’enseignement d’une durée supérieure ou égal à 20 heures.</w:t>
      </w:r>
    </w:p>
    <w:p w14:paraId="1B5F2E1B" w14:textId="2F9248B4" w:rsidR="00C0196D" w:rsidRDefault="00220F9A" w:rsidP="009F763E">
      <w:pPr>
        <w:pStyle w:val="Titre2"/>
      </w:pPr>
      <w:r w:rsidRPr="00E31B87">
        <w:t>Règlement</w:t>
      </w:r>
      <w:r w:rsidRPr="00220F9A">
        <w:t xml:space="preserve"> en contrôle</w:t>
      </w:r>
      <w:r>
        <w:t xml:space="preserve"> des connaissances</w:t>
      </w:r>
    </w:p>
    <w:p w14:paraId="13CE8CA8" w14:textId="77777777" w:rsidR="00220F9A" w:rsidRPr="00220F9A" w:rsidRDefault="00220F9A" w:rsidP="00551AAE">
      <w:pPr>
        <w:pStyle w:val="Texte"/>
      </w:pPr>
      <w:r w:rsidRPr="00220F9A">
        <w:t>Toute fraude ou tentative de fraude commise au cours d’une épreuve de contrôle continu entraînera la saisine de la section disciplinaire de l’université. Le cas de plagiat entraînera aussi la saisine de la section disciplinaire de l’université.</w:t>
      </w:r>
    </w:p>
    <w:p w14:paraId="75F6BB88" w14:textId="12F1C4B7" w:rsidR="00220F9A" w:rsidRPr="00220F9A" w:rsidRDefault="00220F9A" w:rsidP="00551AAE">
      <w:pPr>
        <w:pStyle w:val="Texte"/>
      </w:pPr>
      <w:r w:rsidRPr="00220F9A">
        <w:t>Il ne peut être délivré aucun certificat de réussite ni de relevé de notes (même provisoire) avant que la formation de jugement n’ait statué sur le cas de l’étudiant(e) concerné(e).</w:t>
      </w:r>
    </w:p>
    <w:p w14:paraId="15853A95" w14:textId="77777777" w:rsidR="00220F9A" w:rsidRPr="00220F9A" w:rsidRDefault="00220F9A" w:rsidP="00551AAE">
      <w:pPr>
        <w:pStyle w:val="Texte"/>
      </w:pPr>
      <w:r w:rsidRPr="00220F9A">
        <w:t>Lors du contrôle des connaissances, les étudiants sont tenus de :</w:t>
      </w:r>
    </w:p>
    <w:p w14:paraId="33252871" w14:textId="77777777" w:rsidR="00220F9A" w:rsidRPr="00220F9A" w:rsidRDefault="00220F9A" w:rsidP="00551AAE">
      <w:pPr>
        <w:pStyle w:val="Tiret"/>
      </w:pPr>
      <w:r w:rsidRPr="00220F9A">
        <w:t>Vérifier préalablement sur les panneaux d’affichage, la date et le lieu du contrôle ;</w:t>
      </w:r>
    </w:p>
    <w:p w14:paraId="338D4760" w14:textId="77777777" w:rsidR="00220F9A" w:rsidRPr="00220F9A" w:rsidRDefault="00220F9A" w:rsidP="00551AAE">
      <w:pPr>
        <w:pStyle w:val="Tiret"/>
      </w:pPr>
      <w:r w:rsidRPr="00220F9A">
        <w:t>Localiser leur place et la respecter impérativement (sauf si le personnel de la surveillance décide de placer les étudiants autrement) ;</w:t>
      </w:r>
    </w:p>
    <w:p w14:paraId="4DF7FCEC" w14:textId="77777777" w:rsidR="00220F9A" w:rsidRPr="00220F9A" w:rsidRDefault="00220F9A" w:rsidP="00551AAE">
      <w:pPr>
        <w:pStyle w:val="Tiret"/>
      </w:pPr>
      <w:r w:rsidRPr="00220F9A">
        <w:t>Respecter le plan de salle affiché à l’entrée de la salle où se déroulent les contrôles ;</w:t>
      </w:r>
    </w:p>
    <w:p w14:paraId="3DAEDBC7" w14:textId="77777777" w:rsidR="00220F9A" w:rsidRPr="00220F9A" w:rsidRDefault="00220F9A" w:rsidP="00551AAE">
      <w:pPr>
        <w:pStyle w:val="Tiret"/>
      </w:pPr>
      <w:r w:rsidRPr="00220F9A">
        <w:t xml:space="preserve">Déposer leurs affaires, documents et </w:t>
      </w:r>
      <w:r w:rsidRPr="00551AAE">
        <w:t>objets connectés</w:t>
      </w:r>
      <w:r w:rsidRPr="00220F9A">
        <w:t xml:space="preserve"> préalablement éteints à l'entrée de la salle de contrôle ;</w:t>
      </w:r>
    </w:p>
    <w:p w14:paraId="7832264C" w14:textId="77777777" w:rsidR="00220F9A" w:rsidRPr="00220F9A" w:rsidRDefault="00220F9A" w:rsidP="00551AAE">
      <w:pPr>
        <w:pStyle w:val="Tiret"/>
      </w:pPr>
      <w:r w:rsidRPr="00220F9A">
        <w:t>Pouvoir justifier de leur identité au moyen de leur carte d’étudiant ;</w:t>
      </w:r>
    </w:p>
    <w:p w14:paraId="36F43CFA" w14:textId="77777777" w:rsidR="00220F9A" w:rsidRPr="00220F9A" w:rsidRDefault="00220F9A" w:rsidP="00551AAE">
      <w:pPr>
        <w:pStyle w:val="Tiret"/>
      </w:pPr>
      <w:r w:rsidRPr="00220F9A">
        <w:t>Ne parler ni communiquer entre eux ou avec l’extérieur, quel qu'en soit le motif ;</w:t>
      </w:r>
    </w:p>
    <w:p w14:paraId="52D416F7" w14:textId="77777777" w:rsidR="00220F9A" w:rsidRPr="00220F9A" w:rsidRDefault="00220F9A" w:rsidP="00551AAE">
      <w:pPr>
        <w:pStyle w:val="Tiret"/>
      </w:pPr>
      <w:r w:rsidRPr="00220F9A">
        <w:t>Signer la feuille de présence ;</w:t>
      </w:r>
    </w:p>
    <w:p w14:paraId="2D81DAE6" w14:textId="77777777" w:rsidR="00220F9A" w:rsidRPr="00220F9A" w:rsidRDefault="00220F9A" w:rsidP="00551AAE">
      <w:pPr>
        <w:pStyle w:val="Tiret"/>
      </w:pPr>
      <w:r w:rsidRPr="00220F9A">
        <w:t>Respecter le temps de composition imparti ;</w:t>
      </w:r>
    </w:p>
    <w:p w14:paraId="69B762DF" w14:textId="77777777" w:rsidR="00220F9A" w:rsidRPr="00220F9A" w:rsidRDefault="00220F9A" w:rsidP="00551AAE">
      <w:pPr>
        <w:pStyle w:val="Tiret"/>
      </w:pPr>
      <w:r w:rsidRPr="00220F9A">
        <w:t>Respecter les consignes du personnel de surveillance notamment l’utilisation des calculatrices et des documents pendant les contrôles ;</w:t>
      </w:r>
    </w:p>
    <w:p w14:paraId="3B59037E" w14:textId="77777777" w:rsidR="00220F9A" w:rsidRPr="00220F9A" w:rsidRDefault="00220F9A" w:rsidP="00551AAE">
      <w:pPr>
        <w:pStyle w:val="Tiret"/>
      </w:pPr>
      <w:r w:rsidRPr="00220F9A">
        <w:t>Respecter les consignes relatives à l’accès des salles où se déroulent les contrôles : cet accès sera interdit à tout candidat se présentant après le premier tiers du temps imparti à l'épreuve, quel que soit le motif du retard. De même, il sera interdit de quitter les salles de contrôle avant la fin du premier tiers du temps imparti à l'épreuve.</w:t>
      </w:r>
    </w:p>
    <w:p w14:paraId="60E7C3A0" w14:textId="3A12B8BF" w:rsidR="00220F9A" w:rsidRDefault="00220F9A" w:rsidP="00551AAE">
      <w:pPr>
        <w:pStyle w:val="Texte"/>
      </w:pPr>
      <w:r w:rsidRPr="00220F9A">
        <w:t>Tout manquement aux consignes de même que tout outrage au personnel de surveillance peu</w:t>
      </w:r>
      <w:r w:rsidR="003F08FA">
        <w:t>ven</w:t>
      </w:r>
      <w:r w:rsidRPr="00220F9A">
        <w:t>t faire l’objet de sanctions disciplinaires.</w:t>
      </w:r>
    </w:p>
    <w:p w14:paraId="58440C61" w14:textId="07037A56" w:rsidR="008227EB" w:rsidRDefault="00E00C31" w:rsidP="00551AAE">
      <w:pPr>
        <w:pStyle w:val="Titre1"/>
      </w:pPr>
      <w:r>
        <w:t>J</w:t>
      </w:r>
      <w:r w:rsidR="008A2400">
        <w:t>ury</w:t>
      </w:r>
      <w:r w:rsidR="008227EB">
        <w:t xml:space="preserve"> </w:t>
      </w:r>
      <w:r w:rsidR="008227EB" w:rsidRPr="00A24A38">
        <w:t>et délivrance de la licence professionnelle</w:t>
      </w:r>
    </w:p>
    <w:p w14:paraId="49FF8893" w14:textId="1CE06074" w:rsidR="008A2400" w:rsidRPr="008A2400" w:rsidRDefault="002401A9" w:rsidP="00551AAE">
      <w:pPr>
        <w:pStyle w:val="Texte"/>
      </w:pPr>
      <w:r>
        <w:t>La L</w:t>
      </w:r>
      <w:r w:rsidR="00257729" w:rsidRPr="00A24A38">
        <w:t xml:space="preserve">icence </w:t>
      </w:r>
      <w:r>
        <w:t>P</w:t>
      </w:r>
      <w:r w:rsidR="00257729" w:rsidRPr="00A24A38">
        <w:t xml:space="preserve">rofessionnelle sur un an est décernée aux étudiants </w:t>
      </w:r>
      <w:r>
        <w:t>ayant satisfait aux règles mentionnées</w:t>
      </w:r>
      <w:r w:rsidR="00257729" w:rsidRPr="00A24A38">
        <w:t xml:space="preserve"> au point 3</w:t>
      </w:r>
      <w:r>
        <w:t>.1</w:t>
      </w:r>
      <w:r w:rsidR="00E00C31" w:rsidRPr="008C237A">
        <w:t>.</w:t>
      </w:r>
      <w:r>
        <w:t xml:space="preserve"> </w:t>
      </w:r>
      <w:r w:rsidRPr="00A24A38">
        <w:t xml:space="preserve">Le jury arrêté par la présidente de l’université sur proposition du </w:t>
      </w:r>
      <w:r w:rsidRPr="00A24A38">
        <w:lastRenderedPageBreak/>
        <w:t>responsable de la mention est souverain. Il délibère à partir des notes obtenues par chaque étudiant et les appréciations des enseignants</w:t>
      </w:r>
      <w:r>
        <w:t>.</w:t>
      </w:r>
    </w:p>
    <w:p w14:paraId="4C40E3FF" w14:textId="75BCCF32" w:rsidR="009F763E" w:rsidRDefault="009F763E" w:rsidP="009F763E">
      <w:pPr>
        <w:pStyle w:val="Titre1"/>
      </w:pPr>
      <w:r w:rsidRPr="009F763E">
        <w:t>Evaluation des enseignements</w:t>
      </w:r>
    </w:p>
    <w:p w14:paraId="6765A97F" w14:textId="60D166DC" w:rsidR="009F763E" w:rsidRPr="008A2400" w:rsidRDefault="00092319" w:rsidP="00551AAE">
      <w:pPr>
        <w:pStyle w:val="Texte"/>
      </w:pPr>
      <w:r w:rsidRPr="00092319">
        <w:t xml:space="preserve">L’évaluation des enseignements est réalisée à la fin de chaque année universitaire. </w:t>
      </w:r>
      <w:r w:rsidR="00873C8E">
        <w:t>L</w:t>
      </w:r>
      <w:r w:rsidRPr="00092319">
        <w:t xml:space="preserve">es résultats sont analysés par le </w:t>
      </w:r>
      <w:r w:rsidR="00873C8E">
        <w:t>responsable du parcours</w:t>
      </w:r>
      <w:r w:rsidRPr="00092319">
        <w:t xml:space="preserve"> puis présentés au conseil de perfectionnement de la </w:t>
      </w:r>
      <w:r w:rsidR="00873C8E">
        <w:t>Licence Professionnelle</w:t>
      </w:r>
      <w:r w:rsidRPr="00092319">
        <w:t>.</w:t>
      </w:r>
      <w:r>
        <w:t xml:space="preserve">  </w:t>
      </w:r>
    </w:p>
    <w:p w14:paraId="78D7D3C7" w14:textId="3CD52190" w:rsidR="009F763E" w:rsidRPr="009F763E" w:rsidRDefault="003A092F" w:rsidP="009F763E">
      <w:pPr>
        <w:pStyle w:val="Titre1"/>
      </w:pPr>
      <w:r>
        <w:t>Recours (procédure gracieuse et contentieuse)</w:t>
      </w:r>
      <w:r w:rsidR="00CC465B" w:rsidRPr="00BE16FE">
        <w:t xml:space="preserve"> </w:t>
      </w:r>
    </w:p>
    <w:p w14:paraId="230749FE" w14:textId="69A1D819" w:rsidR="003A092F" w:rsidRPr="003A092F" w:rsidRDefault="003A092F" w:rsidP="00551AAE">
      <w:pPr>
        <w:pStyle w:val="Texte"/>
      </w:pPr>
      <w:r w:rsidRPr="003A092F">
        <w:t>Pour tout recours amiable sur les résultats affichés après délibération du jury, l’étudiant doit prendre contact avec le secrétariat de direction de l’IUT</w:t>
      </w:r>
      <w:r w:rsidR="00674CD0" w:rsidRPr="00674CD0">
        <w:rPr>
          <w:color w:val="FF0000"/>
        </w:rPr>
        <w:t xml:space="preserve"> </w:t>
      </w:r>
      <w:r w:rsidR="00674CD0" w:rsidRPr="002401A9">
        <w:t>dans un délai raisonnable</w:t>
      </w:r>
      <w:r w:rsidRPr="003A092F">
        <w:t>. Toute contestation peut ensuite être portée devant la juridiction administrative compétente dans un délai de deux mois à partir de l’affichage de la présente décision, conformément aux dispositions de l’article R.421-1 du code de justice administrative. Ce recours pourra, le cas échéant, être précédé d’un recours administratif préalable dans les deux mois à partir de l’affichage de la présente décision à adresser soit au président de jury, soit au président de l’université.</w:t>
      </w:r>
    </w:p>
    <w:p w14:paraId="17CA9A66" w14:textId="69AE49DF" w:rsidR="00CC465B" w:rsidRPr="003A092F" w:rsidRDefault="003A092F" w:rsidP="00551AAE">
      <w:pPr>
        <w:pStyle w:val="Texte"/>
      </w:pPr>
      <w:r w:rsidRPr="008C237A">
        <w:t>Au-delà de ce délai, le recours sera jugé comme irrecevable car tardif. La décision administrative sera alors considérée comme définitive, c'est-à-dire qu'elle ne sera plus susceptible de recours.</w:t>
      </w:r>
    </w:p>
    <w:sectPr w:rsidR="00CC465B" w:rsidRPr="003A092F" w:rsidSect="009B7EFF">
      <w:headerReference w:type="even" r:id="rId9"/>
      <w:headerReference w:type="default" r:id="rId10"/>
      <w:footerReference w:type="even" r:id="rId11"/>
      <w:footerReference w:type="default" r:id="rId12"/>
      <w:pgSz w:w="11900" w:h="16840"/>
      <w:pgMar w:top="1078" w:right="1127" w:bottom="426" w:left="1134" w:header="0" w:footer="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75F8" w14:textId="77777777" w:rsidR="00A47F5C" w:rsidRDefault="00A47F5C" w:rsidP="00935206">
      <w:pPr>
        <w:spacing w:after="0"/>
      </w:pPr>
      <w:r>
        <w:separator/>
      </w:r>
    </w:p>
  </w:endnote>
  <w:endnote w:type="continuationSeparator" w:id="0">
    <w:p w14:paraId="521B7106" w14:textId="77777777" w:rsidR="00A47F5C" w:rsidRDefault="00A47F5C" w:rsidP="00935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FE4A" w14:textId="7CB5A51D" w:rsidR="009B7EFF" w:rsidRDefault="009B7EFF">
    <w:pPr>
      <w:pStyle w:val="Pieddepage"/>
    </w:pPr>
    <w:r w:rsidRPr="001C1B99">
      <w:rPr>
        <w:noProof/>
        <w:lang w:val="fr-FR" w:eastAsia="fr-FR"/>
      </w:rPr>
      <w:drawing>
        <wp:inline distT="0" distB="0" distL="0" distR="0" wp14:anchorId="5F8C4CE2" wp14:editId="03EB3FD8">
          <wp:extent cx="6120765" cy="54292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42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B84" w14:textId="1DB8512E" w:rsidR="009B7EFF" w:rsidRDefault="009B7EFF">
    <w:pPr>
      <w:pStyle w:val="Pieddepage"/>
    </w:pPr>
    <w:r w:rsidRPr="001C1B99">
      <w:rPr>
        <w:noProof/>
        <w:lang w:val="fr-FR" w:eastAsia="fr-FR"/>
      </w:rPr>
      <w:drawing>
        <wp:inline distT="0" distB="0" distL="0" distR="0" wp14:anchorId="430F1260" wp14:editId="1031112D">
          <wp:extent cx="6324600" cy="5429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542925"/>
                  </a:xfrm>
                  <a:prstGeom prst="rect">
                    <a:avLst/>
                  </a:prstGeom>
                  <a:noFill/>
                  <a:ln>
                    <a:noFill/>
                  </a:ln>
                </pic:spPr>
              </pic:pic>
            </a:graphicData>
          </a:graphic>
        </wp:inline>
      </w:drawing>
    </w:r>
  </w:p>
  <w:p w14:paraId="355B3D51" w14:textId="2A5DB4DB" w:rsidR="00935206" w:rsidRDefault="00935206" w:rsidP="009E0337">
    <w:pPr>
      <w:pStyle w:val="Pieddepag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7FB9" w14:textId="77777777" w:rsidR="00A47F5C" w:rsidRDefault="00A47F5C" w:rsidP="00935206">
      <w:pPr>
        <w:spacing w:after="0"/>
      </w:pPr>
      <w:r>
        <w:separator/>
      </w:r>
    </w:p>
  </w:footnote>
  <w:footnote w:type="continuationSeparator" w:id="0">
    <w:p w14:paraId="523908B4" w14:textId="77777777" w:rsidR="00A47F5C" w:rsidRDefault="00A47F5C" w:rsidP="009352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5941" w14:textId="34ED1C83" w:rsidR="00B46DC5" w:rsidRDefault="009B7EFF">
    <w:pPr>
      <w:pStyle w:val="En-tte"/>
    </w:pPr>
    <w:r w:rsidRPr="001C1B99">
      <w:rPr>
        <w:noProof/>
        <w:lang w:val="fr-FR" w:eastAsia="fr-FR"/>
      </w:rPr>
      <w:drawing>
        <wp:inline distT="0" distB="0" distL="0" distR="0" wp14:anchorId="076BAD80" wp14:editId="0D396665">
          <wp:extent cx="6120765" cy="9366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36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6E4C" w14:textId="6708CB51" w:rsidR="00935206" w:rsidRDefault="009B7EFF" w:rsidP="009E0337">
    <w:pPr>
      <w:pStyle w:val="En-tte"/>
      <w:ind w:left="-1134" w:right="-418"/>
    </w:pPr>
    <w:r w:rsidRPr="001C1B99">
      <w:rPr>
        <w:noProof/>
        <w:lang w:val="fr-FR" w:eastAsia="fr-FR"/>
      </w:rPr>
      <w:drawing>
        <wp:inline distT="0" distB="0" distL="0" distR="0" wp14:anchorId="576CBF43" wp14:editId="537B1BFA">
          <wp:extent cx="6120765" cy="93662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36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C9A"/>
    <w:multiLevelType w:val="hybridMultilevel"/>
    <w:tmpl w:val="7DD8660A"/>
    <w:lvl w:ilvl="0" w:tplc="DAA2271A">
      <w:start w:val="1"/>
      <w:numFmt w:val="bullet"/>
      <w:lvlText w:val=""/>
      <w:lvlJc w:val="left"/>
      <w:pPr>
        <w:ind w:left="1211"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6686F45"/>
    <w:multiLevelType w:val="hybridMultilevel"/>
    <w:tmpl w:val="82569870"/>
    <w:lvl w:ilvl="0" w:tplc="A6687BE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CB77EF"/>
    <w:multiLevelType w:val="hybridMultilevel"/>
    <w:tmpl w:val="EADCA8E0"/>
    <w:lvl w:ilvl="0" w:tplc="040C000F">
      <w:start w:val="1"/>
      <w:numFmt w:val="decimal"/>
      <w:lvlText w:val="%1."/>
      <w:lvlJc w:val="left"/>
      <w:pPr>
        <w:ind w:left="360" w:hanging="360"/>
      </w:pPr>
      <w:rPr>
        <w:rFonts w:hint="default"/>
      </w:rPr>
    </w:lvl>
    <w:lvl w:ilvl="1" w:tplc="8D8CCEE0">
      <w:start w:val="1"/>
      <w:numFmt w:val="bullet"/>
      <w:lvlText w:val=""/>
      <w:lvlJc w:val="left"/>
      <w:pPr>
        <w:ind w:left="1080" w:hanging="360"/>
      </w:pPr>
      <w:rPr>
        <w:rFonts w:ascii="Wingdings" w:hAnsi="Wingdings" w:hint="default"/>
        <w:color w:val="1F497D" w:themeColor="text2"/>
        <w:sz w:val="24"/>
        <w:u w:color="1F497D" w:themeColor="text2"/>
      </w:rPr>
    </w:lvl>
    <w:lvl w:ilvl="2" w:tplc="040C000F">
      <w:start w:val="1"/>
      <w:numFmt w:val="decimal"/>
      <w:lvlText w:val="%3."/>
      <w:lvlJc w:val="left"/>
      <w:pPr>
        <w:ind w:left="2325" w:hanging="705"/>
      </w:pPr>
      <w:rPr>
        <w:rFonts w:hint="default"/>
      </w:rPr>
    </w:lvl>
    <w:lvl w:ilvl="3" w:tplc="040C000F">
      <w:start w:val="1"/>
      <w:numFmt w:val="decimal"/>
      <w:lvlText w:val="%4."/>
      <w:lvlJc w:val="left"/>
      <w:pPr>
        <w:ind w:left="2520" w:hanging="360"/>
      </w:pPr>
    </w:lvl>
    <w:lvl w:ilvl="4" w:tplc="040C0001">
      <w:start w:val="1"/>
      <w:numFmt w:val="bullet"/>
      <w:lvlText w:val=""/>
      <w:lvlJc w:val="left"/>
      <w:pPr>
        <w:ind w:left="3240" w:hanging="360"/>
      </w:pPr>
      <w:rPr>
        <w:rFonts w:ascii="Symbol" w:hAnsi="Symbol"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FD1150"/>
    <w:multiLevelType w:val="hybridMultilevel"/>
    <w:tmpl w:val="E5C089C4"/>
    <w:lvl w:ilvl="0" w:tplc="CFBE222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EB3CD6"/>
    <w:multiLevelType w:val="hybridMultilevel"/>
    <w:tmpl w:val="F4785FE0"/>
    <w:lvl w:ilvl="0" w:tplc="90B2A43A">
      <w:start w:val="1"/>
      <w:numFmt w:val="bullet"/>
      <w:lvlText w:val="*"/>
      <w:lvlJc w:val="left"/>
      <w:pPr>
        <w:ind w:left="1353" w:hanging="360"/>
      </w:pPr>
      <w:rPr>
        <w:rFonts w:ascii="SimSun-ExtB" w:eastAsia="SimSun-ExtB" w:hAnsi="SimSun-ExtB" w:hint="eastAsia"/>
        <w:color w:val="1F497D" w:themeColor="text2"/>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216F46D0"/>
    <w:multiLevelType w:val="hybridMultilevel"/>
    <w:tmpl w:val="4066E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D40020"/>
    <w:multiLevelType w:val="hybridMultilevel"/>
    <w:tmpl w:val="F4D43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07C2D"/>
    <w:multiLevelType w:val="hybridMultilevel"/>
    <w:tmpl w:val="1EF621D2"/>
    <w:styleLink w:val="Puce"/>
    <w:lvl w:ilvl="0" w:tplc="E95C00D0">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8BF56">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481EA">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8A6B2">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A077C">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A2629E">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8CB80">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AF438">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2C321C">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9A2AB6"/>
    <w:multiLevelType w:val="hybridMultilevel"/>
    <w:tmpl w:val="DAA23168"/>
    <w:lvl w:ilvl="0" w:tplc="A6687BE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A625E3"/>
    <w:multiLevelType w:val="hybridMultilevel"/>
    <w:tmpl w:val="51A24894"/>
    <w:lvl w:ilvl="0" w:tplc="E5AC9BE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C61417"/>
    <w:multiLevelType w:val="hybridMultilevel"/>
    <w:tmpl w:val="77A0CC78"/>
    <w:lvl w:ilvl="0" w:tplc="961E747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10453"/>
    <w:multiLevelType w:val="hybridMultilevel"/>
    <w:tmpl w:val="1C7654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B26EE8"/>
    <w:multiLevelType w:val="hybridMultilevel"/>
    <w:tmpl w:val="352671CA"/>
    <w:lvl w:ilvl="0" w:tplc="DAA2271A">
      <w:start w:val="1"/>
      <w:numFmt w:val="bullet"/>
      <w:lvlText w:val=""/>
      <w:lvlJc w:val="left"/>
      <w:pPr>
        <w:ind w:left="644"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E171E7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1E54"/>
    <w:multiLevelType w:val="hybridMultilevel"/>
    <w:tmpl w:val="99FE1216"/>
    <w:lvl w:ilvl="0" w:tplc="42CE398E">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93036C"/>
    <w:multiLevelType w:val="multilevel"/>
    <w:tmpl w:val="C76C07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E06A9"/>
    <w:multiLevelType w:val="multilevel"/>
    <w:tmpl w:val="E01C474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031E23"/>
    <w:multiLevelType w:val="multilevel"/>
    <w:tmpl w:val="4C8C06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914F01"/>
    <w:multiLevelType w:val="multilevel"/>
    <w:tmpl w:val="4A5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82BDE"/>
    <w:multiLevelType w:val="hybridMultilevel"/>
    <w:tmpl w:val="0FFEDE8A"/>
    <w:lvl w:ilvl="0" w:tplc="D9F292E6">
      <w:start w:val="1"/>
      <w:numFmt w:val="bullet"/>
      <w:pStyle w:val="Tir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7D109F"/>
    <w:multiLevelType w:val="hybridMultilevel"/>
    <w:tmpl w:val="8B28F254"/>
    <w:lvl w:ilvl="0" w:tplc="DAA2271A">
      <w:start w:val="1"/>
      <w:numFmt w:val="bullet"/>
      <w:lvlText w:val=""/>
      <w:lvlJc w:val="left"/>
      <w:pPr>
        <w:ind w:left="2771"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74DA255C"/>
    <w:multiLevelType w:val="hybridMultilevel"/>
    <w:tmpl w:val="E84C3568"/>
    <w:lvl w:ilvl="0" w:tplc="4A087CDA">
      <w:start w:val="1"/>
      <w:numFmt w:val="bullet"/>
      <w:lvlText w:val=""/>
      <w:lvlJc w:val="left"/>
      <w:pPr>
        <w:ind w:left="720"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AC6DC1"/>
    <w:multiLevelType w:val="hybridMultilevel"/>
    <w:tmpl w:val="C922C170"/>
    <w:lvl w:ilvl="0" w:tplc="A6687BE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C660C1"/>
    <w:multiLevelType w:val="multilevel"/>
    <w:tmpl w:val="C76C0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87325F"/>
    <w:multiLevelType w:val="hybridMultilevel"/>
    <w:tmpl w:val="5EC8A3EC"/>
    <w:lvl w:ilvl="0" w:tplc="DAA2271A">
      <w:start w:val="1"/>
      <w:numFmt w:val="bullet"/>
      <w:lvlText w:val=""/>
      <w:lvlJc w:val="left"/>
      <w:pPr>
        <w:ind w:left="927"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12"/>
  </w:num>
  <w:num w:numId="6">
    <w:abstractNumId w:val="20"/>
  </w:num>
  <w:num w:numId="7">
    <w:abstractNumId w:val="24"/>
  </w:num>
  <w:num w:numId="8">
    <w:abstractNumId w:val="4"/>
  </w:num>
  <w:num w:numId="9">
    <w:abstractNumId w:val="21"/>
  </w:num>
  <w:num w:numId="10">
    <w:abstractNumId w:val="5"/>
  </w:num>
  <w:num w:numId="11">
    <w:abstractNumId w:val="9"/>
  </w:num>
  <w:num w:numId="12">
    <w:abstractNumId w:val="10"/>
  </w:num>
  <w:num w:numId="13">
    <w:abstractNumId w:val="3"/>
  </w:num>
  <w:num w:numId="14">
    <w:abstractNumId w:val="14"/>
  </w:num>
  <w:num w:numId="15">
    <w:abstractNumId w:val="17"/>
  </w:num>
  <w:num w:numId="16">
    <w:abstractNumId w:val="1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8"/>
  </w:num>
  <w:num w:numId="24">
    <w:abstractNumId w:val="19"/>
  </w:num>
  <w:num w:numId="25">
    <w:abstractNumId w:val="23"/>
  </w:num>
  <w:num w:numId="26">
    <w:abstractNumId w:val="1"/>
  </w:num>
  <w:num w:numId="27">
    <w:abstractNumId w:val="22"/>
  </w:num>
  <w:num w:numId="28">
    <w:abstractNumId w:val="11"/>
  </w:num>
  <w:num w:numId="29">
    <w:abstractNumId w:val="18"/>
  </w:num>
  <w:num w:numId="30">
    <w:abstractNumId w:val="15"/>
  </w:num>
  <w:num w:numId="31">
    <w:abstractNumId w:val="16"/>
  </w:num>
  <w:num w:numId="32">
    <w:abstractNumId w:val="16"/>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proofState w:spelling="clean" w:grammar="clean"/>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06"/>
    <w:rsid w:val="00001875"/>
    <w:rsid w:val="00003314"/>
    <w:rsid w:val="00007541"/>
    <w:rsid w:val="00024F27"/>
    <w:rsid w:val="00032157"/>
    <w:rsid w:val="00065800"/>
    <w:rsid w:val="00067795"/>
    <w:rsid w:val="00071547"/>
    <w:rsid w:val="00074DD2"/>
    <w:rsid w:val="00077A32"/>
    <w:rsid w:val="000911EA"/>
    <w:rsid w:val="00092319"/>
    <w:rsid w:val="00093389"/>
    <w:rsid w:val="000967BD"/>
    <w:rsid w:val="000A094C"/>
    <w:rsid w:val="000B1629"/>
    <w:rsid w:val="000B7D19"/>
    <w:rsid w:val="000C11DF"/>
    <w:rsid w:val="000D241E"/>
    <w:rsid w:val="000E049F"/>
    <w:rsid w:val="000E24A6"/>
    <w:rsid w:val="000F1F8F"/>
    <w:rsid w:val="000F2714"/>
    <w:rsid w:val="001142DC"/>
    <w:rsid w:val="00116C3C"/>
    <w:rsid w:val="0013052C"/>
    <w:rsid w:val="001319E9"/>
    <w:rsid w:val="00133126"/>
    <w:rsid w:val="001366FC"/>
    <w:rsid w:val="00140AB5"/>
    <w:rsid w:val="001412BB"/>
    <w:rsid w:val="001A2A76"/>
    <w:rsid w:val="001A57FC"/>
    <w:rsid w:val="001B58EE"/>
    <w:rsid w:val="001B7EFF"/>
    <w:rsid w:val="001C7262"/>
    <w:rsid w:val="001D5B3D"/>
    <w:rsid w:val="001E3877"/>
    <w:rsid w:val="001E660F"/>
    <w:rsid w:val="001F3A29"/>
    <w:rsid w:val="00202765"/>
    <w:rsid w:val="002035E2"/>
    <w:rsid w:val="002047EC"/>
    <w:rsid w:val="00214880"/>
    <w:rsid w:val="00214F5C"/>
    <w:rsid w:val="00220F9A"/>
    <w:rsid w:val="00222C34"/>
    <w:rsid w:val="002260F5"/>
    <w:rsid w:val="00232581"/>
    <w:rsid w:val="002335D6"/>
    <w:rsid w:val="00236419"/>
    <w:rsid w:val="002401A9"/>
    <w:rsid w:val="00257729"/>
    <w:rsid w:val="00270A3B"/>
    <w:rsid w:val="00287DC5"/>
    <w:rsid w:val="00296FCD"/>
    <w:rsid w:val="002A64DE"/>
    <w:rsid w:val="002B5D13"/>
    <w:rsid w:val="002C33DF"/>
    <w:rsid w:val="003146B5"/>
    <w:rsid w:val="00324AA3"/>
    <w:rsid w:val="00332B3E"/>
    <w:rsid w:val="00355C8F"/>
    <w:rsid w:val="00365B46"/>
    <w:rsid w:val="00366D80"/>
    <w:rsid w:val="00374DC6"/>
    <w:rsid w:val="003A092F"/>
    <w:rsid w:val="003A1DFB"/>
    <w:rsid w:val="003A65AA"/>
    <w:rsid w:val="003A7C7D"/>
    <w:rsid w:val="003B10D7"/>
    <w:rsid w:val="003B3F33"/>
    <w:rsid w:val="003C10C0"/>
    <w:rsid w:val="003C32AE"/>
    <w:rsid w:val="003D17AE"/>
    <w:rsid w:val="003D4C24"/>
    <w:rsid w:val="003D55C2"/>
    <w:rsid w:val="003F08FA"/>
    <w:rsid w:val="003F243D"/>
    <w:rsid w:val="003F50B9"/>
    <w:rsid w:val="004123F5"/>
    <w:rsid w:val="00421ADF"/>
    <w:rsid w:val="004246BF"/>
    <w:rsid w:val="00426290"/>
    <w:rsid w:val="00447F0C"/>
    <w:rsid w:val="00452CAF"/>
    <w:rsid w:val="0045554E"/>
    <w:rsid w:val="0045691E"/>
    <w:rsid w:val="00463EAA"/>
    <w:rsid w:val="00467374"/>
    <w:rsid w:val="00482335"/>
    <w:rsid w:val="00482DBF"/>
    <w:rsid w:val="00485FF4"/>
    <w:rsid w:val="004917D2"/>
    <w:rsid w:val="004933FC"/>
    <w:rsid w:val="004A07D1"/>
    <w:rsid w:val="004A7A39"/>
    <w:rsid w:val="004B465E"/>
    <w:rsid w:val="004C02AA"/>
    <w:rsid w:val="004C192F"/>
    <w:rsid w:val="004C37FF"/>
    <w:rsid w:val="004C3958"/>
    <w:rsid w:val="004C7298"/>
    <w:rsid w:val="004D0A66"/>
    <w:rsid w:val="004D2A7B"/>
    <w:rsid w:val="004D773F"/>
    <w:rsid w:val="004E0094"/>
    <w:rsid w:val="004E325F"/>
    <w:rsid w:val="004E7755"/>
    <w:rsid w:val="004F041D"/>
    <w:rsid w:val="00510961"/>
    <w:rsid w:val="00511889"/>
    <w:rsid w:val="0054385C"/>
    <w:rsid w:val="00543B8D"/>
    <w:rsid w:val="00551AAE"/>
    <w:rsid w:val="00572195"/>
    <w:rsid w:val="00586577"/>
    <w:rsid w:val="0059491D"/>
    <w:rsid w:val="00597914"/>
    <w:rsid w:val="005A1227"/>
    <w:rsid w:val="005A1955"/>
    <w:rsid w:val="005B33B9"/>
    <w:rsid w:val="005B71C1"/>
    <w:rsid w:val="005E40EF"/>
    <w:rsid w:val="005E5CD8"/>
    <w:rsid w:val="005E64CF"/>
    <w:rsid w:val="00603216"/>
    <w:rsid w:val="00612984"/>
    <w:rsid w:val="006204C9"/>
    <w:rsid w:val="006211AD"/>
    <w:rsid w:val="00631FD4"/>
    <w:rsid w:val="00634617"/>
    <w:rsid w:val="006371EB"/>
    <w:rsid w:val="00637DEC"/>
    <w:rsid w:val="006469ED"/>
    <w:rsid w:val="006533F0"/>
    <w:rsid w:val="0065552E"/>
    <w:rsid w:val="006613E0"/>
    <w:rsid w:val="006732D9"/>
    <w:rsid w:val="00674CD0"/>
    <w:rsid w:val="006778FA"/>
    <w:rsid w:val="00684361"/>
    <w:rsid w:val="006927EC"/>
    <w:rsid w:val="0069350B"/>
    <w:rsid w:val="006947A0"/>
    <w:rsid w:val="00695CD3"/>
    <w:rsid w:val="00695F99"/>
    <w:rsid w:val="00696C03"/>
    <w:rsid w:val="006A30DE"/>
    <w:rsid w:val="006B2B60"/>
    <w:rsid w:val="006B4A49"/>
    <w:rsid w:val="006C234E"/>
    <w:rsid w:val="006D2753"/>
    <w:rsid w:val="006E03C7"/>
    <w:rsid w:val="006E03CE"/>
    <w:rsid w:val="006E0E5B"/>
    <w:rsid w:val="006E2E74"/>
    <w:rsid w:val="00714173"/>
    <w:rsid w:val="00714A73"/>
    <w:rsid w:val="007230A2"/>
    <w:rsid w:val="00726765"/>
    <w:rsid w:val="007268CB"/>
    <w:rsid w:val="00732656"/>
    <w:rsid w:val="00732E4B"/>
    <w:rsid w:val="00733817"/>
    <w:rsid w:val="00742F66"/>
    <w:rsid w:val="00743F06"/>
    <w:rsid w:val="0074428E"/>
    <w:rsid w:val="00750B22"/>
    <w:rsid w:val="0075269D"/>
    <w:rsid w:val="00763C9E"/>
    <w:rsid w:val="00771799"/>
    <w:rsid w:val="00772B47"/>
    <w:rsid w:val="00777B6A"/>
    <w:rsid w:val="0078583E"/>
    <w:rsid w:val="0079725C"/>
    <w:rsid w:val="007A2D6F"/>
    <w:rsid w:val="007A3FF1"/>
    <w:rsid w:val="007C64A0"/>
    <w:rsid w:val="007D1D5E"/>
    <w:rsid w:val="007D6BE4"/>
    <w:rsid w:val="007E5D71"/>
    <w:rsid w:val="007F1E91"/>
    <w:rsid w:val="007F716D"/>
    <w:rsid w:val="008067AD"/>
    <w:rsid w:val="008227EB"/>
    <w:rsid w:val="00825790"/>
    <w:rsid w:val="00826D23"/>
    <w:rsid w:val="008340EF"/>
    <w:rsid w:val="008347DB"/>
    <w:rsid w:val="00873C8E"/>
    <w:rsid w:val="00880C08"/>
    <w:rsid w:val="008846FE"/>
    <w:rsid w:val="008A2400"/>
    <w:rsid w:val="008B19CC"/>
    <w:rsid w:val="008C1DBC"/>
    <w:rsid w:val="008D0C4F"/>
    <w:rsid w:val="008D3B8A"/>
    <w:rsid w:val="008D6057"/>
    <w:rsid w:val="008D6B1F"/>
    <w:rsid w:val="008D76FD"/>
    <w:rsid w:val="00900577"/>
    <w:rsid w:val="00901B2D"/>
    <w:rsid w:val="0090426B"/>
    <w:rsid w:val="00910BCE"/>
    <w:rsid w:val="00912B22"/>
    <w:rsid w:val="00922AC4"/>
    <w:rsid w:val="00927D43"/>
    <w:rsid w:val="009307F4"/>
    <w:rsid w:val="00935206"/>
    <w:rsid w:val="00960737"/>
    <w:rsid w:val="00966CF4"/>
    <w:rsid w:val="009814BB"/>
    <w:rsid w:val="0098219E"/>
    <w:rsid w:val="00985C42"/>
    <w:rsid w:val="00990827"/>
    <w:rsid w:val="00990C44"/>
    <w:rsid w:val="00992C88"/>
    <w:rsid w:val="009A1CC2"/>
    <w:rsid w:val="009B6E40"/>
    <w:rsid w:val="009B7EFF"/>
    <w:rsid w:val="009C5EA1"/>
    <w:rsid w:val="009C760A"/>
    <w:rsid w:val="009E0337"/>
    <w:rsid w:val="009E3E01"/>
    <w:rsid w:val="009E483F"/>
    <w:rsid w:val="009E7093"/>
    <w:rsid w:val="009E77FB"/>
    <w:rsid w:val="009F52E9"/>
    <w:rsid w:val="009F5F37"/>
    <w:rsid w:val="009F763E"/>
    <w:rsid w:val="00A12C97"/>
    <w:rsid w:val="00A151CD"/>
    <w:rsid w:val="00A24A38"/>
    <w:rsid w:val="00A3522E"/>
    <w:rsid w:val="00A40DEA"/>
    <w:rsid w:val="00A424B6"/>
    <w:rsid w:val="00A44015"/>
    <w:rsid w:val="00A45161"/>
    <w:rsid w:val="00A47F5C"/>
    <w:rsid w:val="00A52DE2"/>
    <w:rsid w:val="00A82B22"/>
    <w:rsid w:val="00A9547A"/>
    <w:rsid w:val="00AA16AB"/>
    <w:rsid w:val="00AA4CFC"/>
    <w:rsid w:val="00AA58D0"/>
    <w:rsid w:val="00AA758D"/>
    <w:rsid w:val="00AB1266"/>
    <w:rsid w:val="00AB4341"/>
    <w:rsid w:val="00AD3125"/>
    <w:rsid w:val="00AD4C07"/>
    <w:rsid w:val="00AD5476"/>
    <w:rsid w:val="00AE0348"/>
    <w:rsid w:val="00AE4130"/>
    <w:rsid w:val="00AF1FE4"/>
    <w:rsid w:val="00B06B04"/>
    <w:rsid w:val="00B1058D"/>
    <w:rsid w:val="00B24098"/>
    <w:rsid w:val="00B24B64"/>
    <w:rsid w:val="00B26653"/>
    <w:rsid w:val="00B3201F"/>
    <w:rsid w:val="00B46DC5"/>
    <w:rsid w:val="00B55219"/>
    <w:rsid w:val="00B56381"/>
    <w:rsid w:val="00B62BE5"/>
    <w:rsid w:val="00B70157"/>
    <w:rsid w:val="00B724FD"/>
    <w:rsid w:val="00B739DD"/>
    <w:rsid w:val="00B83CC3"/>
    <w:rsid w:val="00B87489"/>
    <w:rsid w:val="00B87D77"/>
    <w:rsid w:val="00B93123"/>
    <w:rsid w:val="00B940D6"/>
    <w:rsid w:val="00BA37ED"/>
    <w:rsid w:val="00BA5CB2"/>
    <w:rsid w:val="00BC2532"/>
    <w:rsid w:val="00BC5820"/>
    <w:rsid w:val="00BD62F8"/>
    <w:rsid w:val="00BE16FE"/>
    <w:rsid w:val="00BF57F0"/>
    <w:rsid w:val="00C010E6"/>
    <w:rsid w:val="00C0196D"/>
    <w:rsid w:val="00C06F00"/>
    <w:rsid w:val="00C13025"/>
    <w:rsid w:val="00C22FB9"/>
    <w:rsid w:val="00C40F4D"/>
    <w:rsid w:val="00C5629F"/>
    <w:rsid w:val="00C76994"/>
    <w:rsid w:val="00C86320"/>
    <w:rsid w:val="00CA5D42"/>
    <w:rsid w:val="00CB7A9B"/>
    <w:rsid w:val="00CB7E0F"/>
    <w:rsid w:val="00CC0AB8"/>
    <w:rsid w:val="00CC465B"/>
    <w:rsid w:val="00CC5495"/>
    <w:rsid w:val="00CC5CF0"/>
    <w:rsid w:val="00CD45BE"/>
    <w:rsid w:val="00CE038B"/>
    <w:rsid w:val="00CE0DDD"/>
    <w:rsid w:val="00CE1B9A"/>
    <w:rsid w:val="00CE25A1"/>
    <w:rsid w:val="00CE27BA"/>
    <w:rsid w:val="00CF18DB"/>
    <w:rsid w:val="00CF65E7"/>
    <w:rsid w:val="00D21343"/>
    <w:rsid w:val="00D226C6"/>
    <w:rsid w:val="00D22BA4"/>
    <w:rsid w:val="00D2370C"/>
    <w:rsid w:val="00D23FE2"/>
    <w:rsid w:val="00D30742"/>
    <w:rsid w:val="00D35BAA"/>
    <w:rsid w:val="00D40570"/>
    <w:rsid w:val="00D52E4F"/>
    <w:rsid w:val="00D6233E"/>
    <w:rsid w:val="00D63443"/>
    <w:rsid w:val="00D678D8"/>
    <w:rsid w:val="00D8750D"/>
    <w:rsid w:val="00D9071C"/>
    <w:rsid w:val="00DA1090"/>
    <w:rsid w:val="00DD5C99"/>
    <w:rsid w:val="00DE47A7"/>
    <w:rsid w:val="00DF3117"/>
    <w:rsid w:val="00E00C31"/>
    <w:rsid w:val="00E047AB"/>
    <w:rsid w:val="00E10C00"/>
    <w:rsid w:val="00E127FF"/>
    <w:rsid w:val="00E151A1"/>
    <w:rsid w:val="00E177F6"/>
    <w:rsid w:val="00E17DF8"/>
    <w:rsid w:val="00E2320A"/>
    <w:rsid w:val="00E250F3"/>
    <w:rsid w:val="00E31B87"/>
    <w:rsid w:val="00E3612C"/>
    <w:rsid w:val="00E404DA"/>
    <w:rsid w:val="00E50767"/>
    <w:rsid w:val="00E51F67"/>
    <w:rsid w:val="00E651E0"/>
    <w:rsid w:val="00E97690"/>
    <w:rsid w:val="00EA3DFB"/>
    <w:rsid w:val="00EA54D7"/>
    <w:rsid w:val="00EA7015"/>
    <w:rsid w:val="00EA719C"/>
    <w:rsid w:val="00EB28CF"/>
    <w:rsid w:val="00EB75B6"/>
    <w:rsid w:val="00EC37F3"/>
    <w:rsid w:val="00ED4771"/>
    <w:rsid w:val="00ED4BDD"/>
    <w:rsid w:val="00ED4D45"/>
    <w:rsid w:val="00EE08F8"/>
    <w:rsid w:val="00EE7AB9"/>
    <w:rsid w:val="00EF04AB"/>
    <w:rsid w:val="00EF2E07"/>
    <w:rsid w:val="00EF469C"/>
    <w:rsid w:val="00F02FF8"/>
    <w:rsid w:val="00F20C18"/>
    <w:rsid w:val="00F36F7A"/>
    <w:rsid w:val="00F53B0A"/>
    <w:rsid w:val="00F631AE"/>
    <w:rsid w:val="00F63545"/>
    <w:rsid w:val="00F705F8"/>
    <w:rsid w:val="00F70BE6"/>
    <w:rsid w:val="00F8426D"/>
    <w:rsid w:val="00F84EC2"/>
    <w:rsid w:val="00FC1251"/>
    <w:rsid w:val="00FC2757"/>
    <w:rsid w:val="00FC39FE"/>
    <w:rsid w:val="00FC7D2F"/>
    <w:rsid w:val="00FD2788"/>
    <w:rsid w:val="00FD4F1E"/>
    <w:rsid w:val="00FE4A27"/>
    <w:rsid w:val="00FF651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8D0CD7"/>
  <w15:docId w15:val="{3F411BC0-5F75-41EF-B7F9-96D482F2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251"/>
  </w:style>
  <w:style w:type="paragraph" w:styleId="Titre1">
    <w:name w:val="heading 1"/>
    <w:basedOn w:val="Normal"/>
    <w:next w:val="Normal"/>
    <w:link w:val="Titre1Car"/>
    <w:autoRedefine/>
    <w:uiPriority w:val="9"/>
    <w:qFormat/>
    <w:rsid w:val="009F763E"/>
    <w:pPr>
      <w:keepNext/>
      <w:keepLines/>
      <w:numPr>
        <w:numId w:val="31"/>
      </w:numPr>
      <w:spacing w:before="480" w:after="0"/>
      <w:ind w:left="426" w:hanging="426"/>
      <w:outlineLvl w:val="0"/>
    </w:pPr>
    <w:rPr>
      <w:rFonts w:asciiTheme="majorHAnsi" w:eastAsiaTheme="majorEastAsia" w:hAnsiTheme="majorHAnsi" w:cstheme="majorHAnsi"/>
      <w:b/>
      <w:bCs/>
      <w:color w:val="1F497D"/>
      <w:sz w:val="28"/>
      <w:szCs w:val="28"/>
      <w:lang w:val="fr-FR" w:eastAsia="en-US"/>
    </w:rPr>
  </w:style>
  <w:style w:type="paragraph" w:styleId="Titre2">
    <w:name w:val="heading 2"/>
    <w:basedOn w:val="Titre1"/>
    <w:next w:val="Normal"/>
    <w:link w:val="Titre2Car"/>
    <w:autoRedefine/>
    <w:uiPriority w:val="9"/>
    <w:unhideWhenUsed/>
    <w:qFormat/>
    <w:rsid w:val="00E31B87"/>
    <w:pPr>
      <w:numPr>
        <w:ilvl w:val="1"/>
      </w:numPr>
      <w:spacing w:before="200"/>
      <w:outlineLvl w:val="1"/>
    </w:pPr>
    <w:rPr>
      <w:rFonts w:cstheme="majorBidi"/>
      <w:bCs w:val="0"/>
      <w:sz w:val="24"/>
      <w:szCs w:val="24"/>
    </w:rPr>
  </w:style>
  <w:style w:type="paragraph" w:styleId="Titre3">
    <w:name w:val="heading 3"/>
    <w:basedOn w:val="Titre2"/>
    <w:next w:val="Normal"/>
    <w:link w:val="Titre3Car"/>
    <w:autoRedefine/>
    <w:uiPriority w:val="9"/>
    <w:unhideWhenUsed/>
    <w:qFormat/>
    <w:rsid w:val="00E31B87"/>
    <w:pPr>
      <w:numPr>
        <w:ilvl w:val="2"/>
      </w:numPr>
      <w:ind w:left="993" w:hanging="709"/>
      <w:outlineLvl w:val="2"/>
    </w:pPr>
    <w:rPr>
      <w:rFonts w:eastAsia="Times New Roman" w:cstheme="majorHAnsi"/>
      <w:bCs/>
    </w:rPr>
  </w:style>
  <w:style w:type="paragraph" w:styleId="Titre4">
    <w:name w:val="heading 4"/>
    <w:basedOn w:val="Normal"/>
    <w:next w:val="Normal"/>
    <w:link w:val="Titre4Car"/>
    <w:uiPriority w:val="9"/>
    <w:semiHidden/>
    <w:unhideWhenUsed/>
    <w:qFormat/>
    <w:rsid w:val="006E03C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6E03CE"/>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E03C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E03C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E03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E03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5206"/>
    <w:pPr>
      <w:tabs>
        <w:tab w:val="center" w:pos="4703"/>
        <w:tab w:val="right" w:pos="9406"/>
      </w:tabs>
      <w:spacing w:after="0"/>
    </w:pPr>
  </w:style>
  <w:style w:type="character" w:customStyle="1" w:styleId="En-tteCar">
    <w:name w:val="En-tête Car"/>
    <w:basedOn w:val="Policepardfaut"/>
    <w:link w:val="En-tte"/>
    <w:uiPriority w:val="99"/>
    <w:rsid w:val="00935206"/>
  </w:style>
  <w:style w:type="paragraph" w:styleId="Pieddepage">
    <w:name w:val="footer"/>
    <w:basedOn w:val="Normal"/>
    <w:link w:val="PieddepageCar"/>
    <w:uiPriority w:val="99"/>
    <w:unhideWhenUsed/>
    <w:rsid w:val="00935206"/>
    <w:pPr>
      <w:tabs>
        <w:tab w:val="center" w:pos="4703"/>
        <w:tab w:val="right" w:pos="9406"/>
      </w:tabs>
      <w:spacing w:after="0"/>
    </w:pPr>
  </w:style>
  <w:style w:type="character" w:customStyle="1" w:styleId="PieddepageCar">
    <w:name w:val="Pied de page Car"/>
    <w:basedOn w:val="Policepardfaut"/>
    <w:link w:val="Pieddepage"/>
    <w:uiPriority w:val="99"/>
    <w:rsid w:val="00935206"/>
  </w:style>
  <w:style w:type="table" w:styleId="Trameclaire-Accent1">
    <w:name w:val="Light Shading Accent 1"/>
    <w:basedOn w:val="TableauNormal"/>
    <w:uiPriority w:val="60"/>
    <w:rsid w:val="00935206"/>
    <w:pPr>
      <w:spacing w:after="0"/>
    </w:pPr>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35206"/>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35206"/>
    <w:rPr>
      <w:rFonts w:ascii="Lucida Grande" w:hAnsi="Lucida Grande" w:cs="Lucida Grande"/>
      <w:sz w:val="18"/>
      <w:szCs w:val="18"/>
    </w:rPr>
  </w:style>
  <w:style w:type="paragraph" w:customStyle="1" w:styleId="Paragraphestandard">
    <w:name w:val="[Paragraphe standard]"/>
    <w:basedOn w:val="Normal"/>
    <w:uiPriority w:val="99"/>
    <w:rsid w:val="009C5EA1"/>
    <w:pPr>
      <w:widowControl w:val="0"/>
      <w:autoSpaceDE w:val="0"/>
      <w:autoSpaceDN w:val="0"/>
      <w:adjustRightInd w:val="0"/>
      <w:spacing w:after="0" w:line="288" w:lineRule="auto"/>
      <w:textAlignment w:val="center"/>
    </w:pPr>
    <w:rPr>
      <w:rFonts w:ascii="MinionPro-Regular" w:hAnsi="MinionPro-Regular" w:cs="MinionPro-Regular"/>
      <w:color w:val="000000"/>
      <w:lang w:val="fr-FR"/>
    </w:rPr>
  </w:style>
  <w:style w:type="character" w:styleId="Lienhypertexte">
    <w:name w:val="Hyperlink"/>
    <w:basedOn w:val="Policepardfaut"/>
    <w:uiPriority w:val="99"/>
    <w:unhideWhenUsed/>
    <w:rsid w:val="009C5EA1"/>
    <w:rPr>
      <w:color w:val="0000FF" w:themeColor="hyperlink"/>
      <w:u w:val="single"/>
    </w:rPr>
  </w:style>
  <w:style w:type="paragraph" w:customStyle="1" w:styleId="Titre11">
    <w:name w:val="Titre 11"/>
    <w:basedOn w:val="Normal"/>
    <w:next w:val="Normal"/>
    <w:uiPriority w:val="9"/>
    <w:qFormat/>
    <w:rsid w:val="009E0337"/>
    <w:pPr>
      <w:keepNext/>
      <w:keepLines/>
      <w:pBdr>
        <w:top w:val="nil"/>
        <w:left w:val="nil"/>
        <w:bottom w:val="nil"/>
        <w:right w:val="nil"/>
        <w:between w:val="nil"/>
        <w:bar w:val="nil"/>
      </w:pBdr>
      <w:spacing w:before="480" w:after="0"/>
      <w:outlineLvl w:val="0"/>
    </w:pPr>
    <w:rPr>
      <w:rFonts w:ascii="Helvetica" w:eastAsia="Times New Roman" w:hAnsi="Helvetica" w:cs="Times New Roman"/>
      <w:b/>
      <w:bCs/>
      <w:color w:val="2F759E"/>
      <w:sz w:val="28"/>
      <w:szCs w:val="28"/>
      <w:bdr w:val="nil"/>
      <w:lang w:val="en-US" w:eastAsia="en-US"/>
    </w:rPr>
  </w:style>
  <w:style w:type="paragraph" w:customStyle="1" w:styleId="Titre31">
    <w:name w:val="Titre 31"/>
    <w:basedOn w:val="Normal"/>
    <w:next w:val="Normal"/>
    <w:uiPriority w:val="9"/>
    <w:unhideWhenUsed/>
    <w:qFormat/>
    <w:rsid w:val="009E0337"/>
    <w:pPr>
      <w:keepNext/>
      <w:keepLines/>
      <w:pBdr>
        <w:top w:val="nil"/>
        <w:left w:val="nil"/>
        <w:bottom w:val="nil"/>
        <w:right w:val="nil"/>
        <w:between w:val="nil"/>
        <w:bar w:val="nil"/>
      </w:pBdr>
      <w:spacing w:before="200" w:after="0"/>
      <w:outlineLvl w:val="2"/>
    </w:pPr>
    <w:rPr>
      <w:rFonts w:ascii="Helvetica" w:eastAsia="Times New Roman" w:hAnsi="Helvetica" w:cs="Times New Roman"/>
      <w:b/>
      <w:bCs/>
      <w:color w:val="499BC9"/>
      <w:bdr w:val="nil"/>
      <w:lang w:val="en-US" w:eastAsia="en-US"/>
    </w:rPr>
  </w:style>
  <w:style w:type="character" w:customStyle="1" w:styleId="Titre1Car">
    <w:name w:val="Titre 1 Car"/>
    <w:basedOn w:val="Policepardfaut"/>
    <w:link w:val="Titre1"/>
    <w:uiPriority w:val="9"/>
    <w:rsid w:val="009F763E"/>
    <w:rPr>
      <w:rFonts w:asciiTheme="majorHAnsi" w:eastAsiaTheme="majorEastAsia" w:hAnsiTheme="majorHAnsi" w:cstheme="majorHAnsi"/>
      <w:b/>
      <w:bCs/>
      <w:color w:val="1F497D"/>
      <w:sz w:val="28"/>
      <w:szCs w:val="28"/>
      <w:lang w:val="fr-FR" w:eastAsia="en-US"/>
    </w:rPr>
  </w:style>
  <w:style w:type="character" w:customStyle="1" w:styleId="Titre3Car">
    <w:name w:val="Titre 3 Car"/>
    <w:basedOn w:val="Policepardfaut"/>
    <w:link w:val="Titre3"/>
    <w:uiPriority w:val="9"/>
    <w:rsid w:val="00E31B87"/>
    <w:rPr>
      <w:rFonts w:asciiTheme="majorHAnsi" w:eastAsia="Times New Roman" w:hAnsiTheme="majorHAnsi" w:cstheme="majorHAnsi"/>
      <w:b/>
      <w:bCs/>
      <w:color w:val="1F497D"/>
      <w:lang w:val="fr-FR" w:eastAsia="en-US"/>
    </w:rPr>
  </w:style>
  <w:style w:type="numbering" w:customStyle="1" w:styleId="Puce">
    <w:name w:val="Puce"/>
    <w:rsid w:val="009E0337"/>
    <w:pPr>
      <w:numPr>
        <w:numId w:val="1"/>
      </w:numPr>
    </w:pPr>
  </w:style>
  <w:style w:type="character" w:customStyle="1" w:styleId="Hyperlink0">
    <w:name w:val="Hyperlink.0"/>
    <w:basedOn w:val="Policepardfaut"/>
    <w:rsid w:val="009E0337"/>
    <w:rPr>
      <w:color w:val="0432FF"/>
      <w:u w:val="single"/>
    </w:rPr>
  </w:style>
  <w:style w:type="character" w:customStyle="1" w:styleId="Titre1Car1">
    <w:name w:val="Titre 1 Car1"/>
    <w:basedOn w:val="Policepardfaut"/>
    <w:uiPriority w:val="9"/>
    <w:rsid w:val="009E0337"/>
    <w:rPr>
      <w:rFonts w:asciiTheme="majorHAnsi" w:eastAsiaTheme="majorEastAsia" w:hAnsiTheme="majorHAnsi" w:cstheme="majorBidi"/>
      <w:b/>
      <w:bCs/>
      <w:color w:val="365F91" w:themeColor="accent1" w:themeShade="BF"/>
      <w:sz w:val="28"/>
      <w:szCs w:val="28"/>
    </w:rPr>
  </w:style>
  <w:style w:type="character" w:customStyle="1" w:styleId="Titre3Car1">
    <w:name w:val="Titre 3 Car1"/>
    <w:basedOn w:val="Policepardfaut"/>
    <w:uiPriority w:val="9"/>
    <w:semiHidden/>
    <w:rsid w:val="009E0337"/>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uiPriority w:val="9"/>
    <w:rsid w:val="00E31B87"/>
    <w:rPr>
      <w:rFonts w:asciiTheme="majorHAnsi" w:eastAsiaTheme="majorEastAsia" w:hAnsiTheme="majorHAnsi" w:cstheme="majorBidi"/>
      <w:b/>
      <w:color w:val="1F497D"/>
      <w:lang w:val="fr-FR" w:eastAsia="en-US"/>
    </w:rPr>
  </w:style>
  <w:style w:type="paragraph" w:styleId="Paragraphedeliste">
    <w:name w:val="List Paragraph"/>
    <w:basedOn w:val="Normal"/>
    <w:uiPriority w:val="34"/>
    <w:qFormat/>
    <w:rsid w:val="006D2753"/>
    <w:pPr>
      <w:ind w:left="720"/>
      <w:contextualSpacing/>
    </w:pPr>
  </w:style>
  <w:style w:type="table" w:styleId="Grilledutableau">
    <w:name w:val="Table Grid"/>
    <w:basedOn w:val="TableauNormal"/>
    <w:uiPriority w:val="59"/>
    <w:rsid w:val="004246BF"/>
    <w:pPr>
      <w:spacing w:after="0"/>
    </w:pPr>
    <w:rPr>
      <w:rFonts w:eastAsiaTheme="minorHAns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B75B6"/>
    <w:pPr>
      <w:spacing w:after="0"/>
    </w:pPr>
    <w:rPr>
      <w:sz w:val="20"/>
      <w:szCs w:val="20"/>
    </w:rPr>
  </w:style>
  <w:style w:type="character" w:customStyle="1" w:styleId="NotedebasdepageCar">
    <w:name w:val="Note de bas de page Car"/>
    <w:basedOn w:val="Policepardfaut"/>
    <w:link w:val="Notedebasdepage"/>
    <w:uiPriority w:val="99"/>
    <w:semiHidden/>
    <w:rsid w:val="00EB75B6"/>
    <w:rPr>
      <w:sz w:val="20"/>
      <w:szCs w:val="20"/>
    </w:rPr>
  </w:style>
  <w:style w:type="character" w:styleId="Appelnotedebasdep">
    <w:name w:val="footnote reference"/>
    <w:basedOn w:val="Policepardfaut"/>
    <w:uiPriority w:val="99"/>
    <w:semiHidden/>
    <w:unhideWhenUsed/>
    <w:rsid w:val="00EB75B6"/>
    <w:rPr>
      <w:vertAlign w:val="superscript"/>
    </w:rPr>
  </w:style>
  <w:style w:type="paragraph" w:styleId="Notedefin">
    <w:name w:val="endnote text"/>
    <w:basedOn w:val="Normal"/>
    <w:link w:val="NotedefinCar"/>
    <w:uiPriority w:val="99"/>
    <w:semiHidden/>
    <w:unhideWhenUsed/>
    <w:rsid w:val="009E7093"/>
    <w:pPr>
      <w:spacing w:after="0"/>
    </w:pPr>
    <w:rPr>
      <w:sz w:val="20"/>
      <w:szCs w:val="20"/>
    </w:rPr>
  </w:style>
  <w:style w:type="character" w:customStyle="1" w:styleId="NotedefinCar">
    <w:name w:val="Note de fin Car"/>
    <w:basedOn w:val="Policepardfaut"/>
    <w:link w:val="Notedefin"/>
    <w:uiPriority w:val="99"/>
    <w:semiHidden/>
    <w:rsid w:val="009E7093"/>
    <w:rPr>
      <w:sz w:val="20"/>
      <w:szCs w:val="20"/>
    </w:rPr>
  </w:style>
  <w:style w:type="character" w:styleId="Appeldenotedefin">
    <w:name w:val="endnote reference"/>
    <w:basedOn w:val="Policepardfaut"/>
    <w:uiPriority w:val="99"/>
    <w:semiHidden/>
    <w:unhideWhenUsed/>
    <w:rsid w:val="009E7093"/>
    <w:rPr>
      <w:vertAlign w:val="superscript"/>
    </w:rPr>
  </w:style>
  <w:style w:type="character" w:styleId="Marquedecommentaire">
    <w:name w:val="annotation reference"/>
    <w:basedOn w:val="Policepardfaut"/>
    <w:uiPriority w:val="99"/>
    <w:semiHidden/>
    <w:unhideWhenUsed/>
    <w:rsid w:val="003146B5"/>
    <w:rPr>
      <w:sz w:val="18"/>
      <w:szCs w:val="18"/>
    </w:rPr>
  </w:style>
  <w:style w:type="paragraph" w:styleId="Commentaire">
    <w:name w:val="annotation text"/>
    <w:basedOn w:val="Normal"/>
    <w:link w:val="CommentaireCar"/>
    <w:uiPriority w:val="99"/>
    <w:semiHidden/>
    <w:unhideWhenUsed/>
    <w:rsid w:val="003146B5"/>
  </w:style>
  <w:style w:type="character" w:customStyle="1" w:styleId="CommentaireCar">
    <w:name w:val="Commentaire Car"/>
    <w:basedOn w:val="Policepardfaut"/>
    <w:link w:val="Commentaire"/>
    <w:uiPriority w:val="99"/>
    <w:semiHidden/>
    <w:rsid w:val="003146B5"/>
  </w:style>
  <w:style w:type="paragraph" w:styleId="Objetducommentaire">
    <w:name w:val="annotation subject"/>
    <w:basedOn w:val="Commentaire"/>
    <w:next w:val="Commentaire"/>
    <w:link w:val="ObjetducommentaireCar"/>
    <w:uiPriority w:val="99"/>
    <w:semiHidden/>
    <w:unhideWhenUsed/>
    <w:rsid w:val="003146B5"/>
    <w:rPr>
      <w:b/>
      <w:bCs/>
      <w:sz w:val="20"/>
      <w:szCs w:val="20"/>
    </w:rPr>
  </w:style>
  <w:style w:type="character" w:customStyle="1" w:styleId="ObjetducommentaireCar">
    <w:name w:val="Objet du commentaire Car"/>
    <w:basedOn w:val="CommentaireCar"/>
    <w:link w:val="Objetducommentaire"/>
    <w:uiPriority w:val="99"/>
    <w:semiHidden/>
    <w:rsid w:val="003146B5"/>
    <w:rPr>
      <w:b/>
      <w:bCs/>
      <w:sz w:val="20"/>
      <w:szCs w:val="20"/>
    </w:rPr>
  </w:style>
  <w:style w:type="character" w:customStyle="1" w:styleId="Titre4Car">
    <w:name w:val="Titre 4 Car"/>
    <w:basedOn w:val="Policepardfaut"/>
    <w:link w:val="Titre4"/>
    <w:uiPriority w:val="9"/>
    <w:semiHidden/>
    <w:rsid w:val="006E03CE"/>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6E03CE"/>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6E03C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6E03CE"/>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6E03C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E03CE"/>
    <w:rPr>
      <w:rFonts w:asciiTheme="majorHAnsi" w:eastAsiaTheme="majorEastAsia" w:hAnsiTheme="majorHAnsi" w:cstheme="majorBidi"/>
      <w:i/>
      <w:iCs/>
      <w:color w:val="272727" w:themeColor="text1" w:themeTint="D8"/>
      <w:sz w:val="21"/>
      <w:szCs w:val="21"/>
    </w:rPr>
  </w:style>
  <w:style w:type="paragraph" w:customStyle="1" w:styleId="Texte">
    <w:name w:val="Texte"/>
    <w:link w:val="TexteCar"/>
    <w:autoRedefine/>
    <w:qFormat/>
    <w:rsid w:val="00551AAE"/>
    <w:pPr>
      <w:spacing w:before="100" w:after="0"/>
      <w:jc w:val="both"/>
    </w:pPr>
    <w:rPr>
      <w:rFonts w:asciiTheme="majorHAnsi" w:hAnsiTheme="majorHAnsi"/>
      <w:lang w:val="fr-FR" w:eastAsia="en-US"/>
    </w:rPr>
  </w:style>
  <w:style w:type="paragraph" w:customStyle="1" w:styleId="Tiret">
    <w:name w:val="Tiret"/>
    <w:basedOn w:val="Texte"/>
    <w:next w:val="Texte"/>
    <w:link w:val="TiretCar"/>
    <w:autoRedefine/>
    <w:qFormat/>
    <w:rsid w:val="00E047AB"/>
    <w:pPr>
      <w:numPr>
        <w:numId w:val="24"/>
      </w:numPr>
      <w:ind w:left="567"/>
    </w:pPr>
  </w:style>
  <w:style w:type="character" w:customStyle="1" w:styleId="TexteCar">
    <w:name w:val="Texte Car"/>
    <w:basedOn w:val="Policepardfaut"/>
    <w:link w:val="Texte"/>
    <w:rsid w:val="00551AAE"/>
    <w:rPr>
      <w:rFonts w:asciiTheme="majorHAnsi" w:hAnsiTheme="majorHAnsi"/>
      <w:lang w:val="fr-FR" w:eastAsia="en-US"/>
    </w:rPr>
  </w:style>
  <w:style w:type="character" w:customStyle="1" w:styleId="TiretCar">
    <w:name w:val="Tiret Car"/>
    <w:basedOn w:val="TexteCar"/>
    <w:link w:val="Tiret"/>
    <w:rsid w:val="00E047AB"/>
    <w:rPr>
      <w:rFonts w:asciiTheme="majorHAnsi" w:hAnsiTheme="majorHAnsi"/>
      <w:color w:val="000000" w:themeColor="text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26836">
      <w:bodyDiv w:val="1"/>
      <w:marLeft w:val="0"/>
      <w:marRight w:val="0"/>
      <w:marTop w:val="0"/>
      <w:marBottom w:val="0"/>
      <w:divBdr>
        <w:top w:val="none" w:sz="0" w:space="0" w:color="auto"/>
        <w:left w:val="none" w:sz="0" w:space="0" w:color="auto"/>
        <w:bottom w:val="none" w:sz="0" w:space="0" w:color="auto"/>
        <w:right w:val="none" w:sz="0" w:space="0" w:color="auto"/>
      </w:divBdr>
    </w:div>
    <w:div w:id="1257901144">
      <w:bodyDiv w:val="1"/>
      <w:marLeft w:val="0"/>
      <w:marRight w:val="0"/>
      <w:marTop w:val="0"/>
      <w:marBottom w:val="0"/>
      <w:divBdr>
        <w:top w:val="none" w:sz="0" w:space="0" w:color="auto"/>
        <w:left w:val="none" w:sz="0" w:space="0" w:color="auto"/>
        <w:bottom w:val="none" w:sz="0" w:space="0" w:color="auto"/>
        <w:right w:val="none" w:sz="0" w:space="0" w:color="auto"/>
      </w:divBdr>
    </w:div>
    <w:div w:id="139061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spn.fr/amenagement-des-etu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B9F800C80A941A2045F5953EE8747" ma:contentTypeVersion="4" ma:contentTypeDescription="Crée un document." ma:contentTypeScope="" ma:versionID="cc3730341ee350cc57b3561b3224b80c">
  <xsd:schema xmlns:xsd="http://www.w3.org/2001/XMLSchema" xmlns:xs="http://www.w3.org/2001/XMLSchema" xmlns:p="http://schemas.microsoft.com/office/2006/metadata/properties" xmlns:ns2="3c339d15-3ee8-40e4-b35c-00fab304ede9" targetNamespace="http://schemas.microsoft.com/office/2006/metadata/properties" ma:root="true" ma:fieldsID="0b544ef838188298fab60564b2c13408" ns2:_="">
    <xsd:import namespace="3c339d15-3ee8-40e4-b35c-00fab304e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39d15-3ee8-40e4-b35c-00fab304e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1D04F-9FAF-467F-BEC9-DAAE9F4ED667}">
  <ds:schemaRefs>
    <ds:schemaRef ds:uri="http://schemas.openxmlformats.org/officeDocument/2006/bibliography"/>
  </ds:schemaRefs>
</ds:datastoreItem>
</file>

<file path=customXml/itemProps2.xml><?xml version="1.0" encoding="utf-8"?>
<ds:datastoreItem xmlns:ds="http://schemas.openxmlformats.org/officeDocument/2006/customXml" ds:itemID="{14FE16BD-9ED2-4D80-AFAC-CEABD71A349A}"/>
</file>

<file path=customXml/itemProps3.xml><?xml version="1.0" encoding="utf-8"?>
<ds:datastoreItem xmlns:ds="http://schemas.openxmlformats.org/officeDocument/2006/customXml" ds:itemID="{7DF6B126-864D-4CFD-B57E-B025D01557B9}"/>
</file>

<file path=customXml/itemProps4.xml><?xml version="1.0" encoding="utf-8"?>
<ds:datastoreItem xmlns:ds="http://schemas.openxmlformats.org/officeDocument/2006/customXml" ds:itemID="{9C2DA3D0-329E-4643-A947-BA57F9DF7FC8}"/>
</file>

<file path=docProps/app.xml><?xml version="1.0" encoding="utf-8"?>
<Properties xmlns="http://schemas.openxmlformats.org/officeDocument/2006/extended-properties" xmlns:vt="http://schemas.openxmlformats.org/officeDocument/2006/docPropsVTypes">
  <Template>Normal</Template>
  <TotalTime>23</TotalTime>
  <Pages>6</Pages>
  <Words>2342</Words>
  <Characters>12885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MAWUSSI</dc:creator>
  <cp:lastModifiedBy>Bernardin MAWUSSI</cp:lastModifiedBy>
  <cp:revision>6</cp:revision>
  <cp:lastPrinted>2025-09-23T17:14:00Z</cp:lastPrinted>
  <dcterms:created xsi:type="dcterms:W3CDTF">2025-09-23T16:52:00Z</dcterms:created>
  <dcterms:modified xsi:type="dcterms:W3CDTF">2025-09-23T17:15:00Z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0x010100D4AB9F800C80A941A2045F5953EE8747</vt:lpwstr>
  </property>
</Properties>
</file>